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000" w:firstRow="0" w:lastRow="0" w:firstColumn="0" w:lastColumn="0" w:noHBand="0" w:noVBand="0"/>
      </w:tblPr>
      <w:tblGrid>
        <w:gridCol w:w="4361"/>
        <w:gridCol w:w="332"/>
        <w:gridCol w:w="4377"/>
      </w:tblGrid>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bookmarkStart w:id="0" w:name="_GoBack"/>
            <w:r w:rsidRPr="00855A56">
              <w:rPr>
                <w:rFonts w:cs="Arial"/>
                <w:b/>
                <w:sz w:val="24"/>
                <w:szCs w:val="24"/>
                <w:lang w:eastAsia="de-DE"/>
              </w:rPr>
              <w:t>European Group on Tort Law</w:t>
            </w:r>
          </w:p>
        </w:tc>
        <w:tc>
          <w:tcPr>
            <w:tcW w:w="329" w:type="dxa"/>
          </w:tcPr>
          <w:p w:rsidR="00885074" w:rsidRPr="00855A56" w:rsidRDefault="00885074" w:rsidP="009D0AF3">
            <w:pPr>
              <w:pStyle w:val="Translation"/>
              <w:suppressAutoHyphens/>
              <w:wordWrap/>
              <w:topLinePunct/>
              <w:rPr>
                <w:rFonts w:cs="Arial"/>
                <w:b/>
                <w:sz w:val="24"/>
                <w:szCs w:val="24"/>
                <w:lang w:val="en-GB"/>
              </w:rPr>
            </w:pPr>
            <w:r w:rsidRPr="00855A56">
              <w:rPr>
                <w:rFonts w:cs="Arial"/>
                <w:b/>
                <w:sz w:val="24"/>
                <w:szCs w:val="24"/>
                <w:lang w:val="en-GB"/>
              </w:rPr>
              <w:t> </w:t>
            </w:r>
          </w:p>
        </w:tc>
        <w:tc>
          <w:tcPr>
            <w:tcW w:w="4340" w:type="dxa"/>
          </w:tcPr>
          <w:p w:rsidR="00885074" w:rsidRPr="00855A56" w:rsidRDefault="00885074" w:rsidP="009D0AF3">
            <w:pPr>
              <w:pStyle w:val="Translation"/>
              <w:suppressAutoHyphens/>
              <w:wordWrap/>
              <w:topLinePunct/>
              <w:rPr>
                <w:rFonts w:cs="Arial"/>
                <w:b/>
                <w:sz w:val="24"/>
                <w:szCs w:val="24"/>
                <w:lang w:val="en-GB"/>
              </w:rPr>
            </w:pPr>
            <w:r w:rsidRPr="00855A56">
              <w:rPr>
                <w:rFonts w:cs="Arial"/>
                <w:b/>
                <w:sz w:val="24"/>
                <w:szCs w:val="24"/>
                <w:lang w:val="en-GB"/>
              </w:rPr>
              <w:t>Evropska skupina za odškodninsko pravo</w:t>
            </w:r>
          </w:p>
        </w:tc>
      </w:tr>
      <w:tr w:rsidR="00885074" w:rsidRPr="00855A56" w:rsidTr="000811C4">
        <w:trPr>
          <w:cantSplit/>
          <w:trHeight w:val="330"/>
          <w:tblCellSpacing w:w="0" w:type="dxa"/>
        </w:trPr>
        <w:tc>
          <w:tcPr>
            <w:tcW w:w="4325" w:type="dxa"/>
          </w:tcPr>
          <w:p w:rsidR="00885074" w:rsidRPr="00855A56" w:rsidRDefault="00885074" w:rsidP="009D0AF3">
            <w:pPr>
              <w:pStyle w:val="OriginalTitle"/>
              <w:suppressAutoHyphens/>
              <w:wordWrap/>
              <w:rPr>
                <w:rFonts w:cs="Arial"/>
                <w:sz w:val="20"/>
                <w:szCs w:val="20"/>
              </w:rPr>
            </w:pPr>
            <w:r w:rsidRPr="00855A56">
              <w:rPr>
                <w:rFonts w:cs="Arial"/>
              </w:rPr>
              <w:t>Principles of European Tort Law</w:t>
            </w:r>
          </w:p>
        </w:tc>
        <w:tc>
          <w:tcPr>
            <w:tcW w:w="329" w:type="dxa"/>
          </w:tcPr>
          <w:p w:rsidR="00885074" w:rsidRPr="00855A56" w:rsidRDefault="00885074" w:rsidP="009D0AF3">
            <w:pPr>
              <w:suppressAutoHyphens/>
              <w:spacing w:before="100" w:beforeAutospacing="1" w:after="100" w:afterAutospacing="1"/>
              <w:rPr>
                <w:rFonts w:cs="Arial"/>
                <w:sz w:val="20"/>
              </w:rPr>
            </w:pPr>
            <w:r w:rsidRPr="00855A56">
              <w:rPr>
                <w:rFonts w:cs="Arial"/>
                <w:sz w:val="20"/>
              </w:rPr>
              <w:t> </w:t>
            </w:r>
          </w:p>
        </w:tc>
        <w:tc>
          <w:tcPr>
            <w:tcW w:w="4340" w:type="dxa"/>
          </w:tcPr>
          <w:p w:rsidR="00885074" w:rsidRPr="00855A56" w:rsidRDefault="00885074" w:rsidP="009D0AF3">
            <w:pPr>
              <w:pStyle w:val="TranslationTitle"/>
              <w:suppressAutoHyphens/>
              <w:wordWrap/>
              <w:topLinePunct/>
              <w:rPr>
                <w:rFonts w:cs="Arial"/>
                <w:sz w:val="20"/>
                <w:szCs w:val="20"/>
              </w:rPr>
            </w:pPr>
            <w:r w:rsidRPr="00855A56">
              <w:rPr>
                <w:rFonts w:eastAsia="MS-UIGothic" w:cs="Arial"/>
                <w:lang w:val="es-ES" w:eastAsia="es-ES"/>
              </w:rPr>
              <w:t>Načela evropskega odškodninskega prava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smartTag w:uri="urn:schemas-microsoft-com:office:smarttags" w:element="place">
              <w:smartTag w:uri="urn:schemas:contacts" w:element="Sn">
                <w:r w:rsidRPr="00855A56">
                  <w:rPr>
                    <w:rFonts w:cs="Arial"/>
                  </w:rPr>
                  <w:t>TITLE</w:t>
                </w:r>
              </w:smartTag>
              <w:r w:rsidRPr="00855A56">
                <w:rPr>
                  <w:rFonts w:cs="Arial"/>
                </w:rPr>
                <w:t xml:space="preserve"> </w:t>
              </w:r>
              <w:smartTag w:uri="urn:schemas:contacts" w:element="Sn">
                <w:r w:rsidRPr="00855A56">
                  <w:rPr>
                    <w:rFonts w:cs="Arial"/>
                  </w:rPr>
                  <w:t>I.</w:t>
                </w:r>
              </w:smartTag>
            </w:smartTag>
            <w:r w:rsidRPr="00855A56">
              <w:rPr>
                <w:rFonts w:cs="Arial"/>
              </w:rPr>
              <w:t xml:space="preserve"> Basic Norm</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I. DEL. Temeljno pravilo</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1. Basic Norm</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1. Temeljno pravilo</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1:101. Basic norm</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1:101. Temeljno pravilo</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A person to whom damage to another is legally attributed is liable to compensate that da</w:t>
            </w:r>
            <w:r w:rsidRPr="00855A56">
              <w:rPr>
                <w:rFonts w:cs="Arial"/>
              </w:rPr>
              <w:t>m</w:t>
            </w:r>
            <w:r w:rsidRPr="00855A56">
              <w:rPr>
                <w:rFonts w:cs="Arial"/>
              </w:rPr>
              <w:t>age.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Oseba mora povrniti škodo nekoga drugega, če se ji ta škoda lahko pripiše na temelju zak</w:t>
            </w:r>
            <w:r w:rsidRPr="00855A56">
              <w:rPr>
                <w:rFonts w:cs="Arial"/>
              </w:rPr>
              <w:t>o</w:t>
            </w:r>
            <w:r w:rsidRPr="00855A56">
              <w:rPr>
                <w:rFonts w:cs="Arial"/>
              </w:rPr>
              <w:t>na.</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Damage may be attributed in particular to the person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Škoda se pripiše zlasti tisti osebi,</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whose conduct constituting fault has caused it; or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 xml:space="preserve">a) katere krivdno vedenje jo je povzročilo; ali </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whose abnormally dangerous activity has caused it; or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katere čezmerno nevarna dejavnost jo je po</w:t>
            </w:r>
            <w:r w:rsidRPr="00855A56">
              <w:rPr>
                <w:rFonts w:cs="Arial"/>
              </w:rPr>
              <w:t>v</w:t>
            </w:r>
            <w:r w:rsidRPr="00855A56">
              <w:rPr>
                <w:rFonts w:cs="Arial"/>
              </w:rPr>
              <w:t xml:space="preserve">zročila; ali </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c) whose auxiliary has caused it within the scope of his fun</w:t>
            </w:r>
            <w:r w:rsidRPr="00855A56">
              <w:rPr>
                <w:rFonts w:cs="Arial"/>
              </w:rPr>
              <w:t>c</w:t>
            </w:r>
            <w:r w:rsidRPr="00855A56">
              <w:rPr>
                <w:rFonts w:cs="Arial"/>
              </w:rPr>
              <w:t>tions.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c) katere pomočnik jo je povzročil v obsegu sv</w:t>
            </w:r>
            <w:r w:rsidRPr="00855A56">
              <w:rPr>
                <w:rFonts w:cs="Arial"/>
              </w:rPr>
              <w:t>o</w:t>
            </w:r>
            <w:r w:rsidRPr="00855A56">
              <w:rPr>
                <w:rFonts w:cs="Arial"/>
              </w:rPr>
              <w:t xml:space="preserve">jih nalog. </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TITLE II. General Conditions of Liability</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II. DEL. Splošne predpostavke za odgovo</w:t>
            </w:r>
            <w:r w:rsidRPr="00855A56">
              <w:rPr>
                <w:rFonts w:cs="Arial"/>
              </w:rPr>
              <w:t>r</w:t>
            </w:r>
            <w:r w:rsidRPr="00855A56">
              <w:rPr>
                <w:rFonts w:cs="Arial"/>
              </w:rPr>
              <w:t>nost</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2. Damage</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2. Škoda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2:101. Recoverable damage</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2:101. Nadomestljiva škoda</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Damage requires material or immaterial harm to a legally pr</w:t>
            </w:r>
            <w:r w:rsidRPr="00855A56">
              <w:rPr>
                <w:rFonts w:cs="Arial"/>
              </w:rPr>
              <w:t>o</w:t>
            </w:r>
            <w:r w:rsidRPr="00855A56">
              <w:rPr>
                <w:rFonts w:cs="Arial"/>
              </w:rPr>
              <w:t>tected interest.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Škoda predpostavlja premoženjsko ali nepr</w:t>
            </w:r>
            <w:r w:rsidRPr="00855A56">
              <w:rPr>
                <w:rFonts w:cs="Arial"/>
              </w:rPr>
              <w:t>e</w:t>
            </w:r>
            <w:r w:rsidRPr="00855A56">
              <w:rPr>
                <w:rFonts w:cs="Arial"/>
              </w:rPr>
              <w:t>moženjsko izgubo pravno varovanega interesa.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2:102. Protected interests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2:102. Varovani interesi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The scope of protection of an interest d</w:t>
            </w:r>
            <w:r w:rsidRPr="00855A56">
              <w:rPr>
                <w:rFonts w:cs="Arial"/>
              </w:rPr>
              <w:t>e</w:t>
            </w:r>
            <w:r w:rsidRPr="00855A56">
              <w:rPr>
                <w:rFonts w:cs="Arial"/>
              </w:rPr>
              <w:t>pends on its nature; the higher its value, the precision of its definition and its obv</w:t>
            </w:r>
            <w:r w:rsidRPr="00855A56">
              <w:rPr>
                <w:rFonts w:cs="Arial"/>
              </w:rPr>
              <w:t>i</w:t>
            </w:r>
            <w:r w:rsidRPr="00855A56">
              <w:rPr>
                <w:rFonts w:cs="Arial"/>
              </w:rPr>
              <w:t>ousness, the more extensive is its protection.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Obseg zaščite varstva interesa je odvisen od njegove n</w:t>
            </w:r>
            <w:r w:rsidRPr="00855A56">
              <w:rPr>
                <w:rFonts w:cs="Arial"/>
              </w:rPr>
              <w:t>a</w:t>
            </w:r>
            <w:r w:rsidRPr="00855A56">
              <w:rPr>
                <w:rFonts w:cs="Arial"/>
              </w:rPr>
              <w:t>rave; čim večja je njegova vrednost, natančnost njegove opredelitve in njegova oči</w:t>
            </w:r>
            <w:r w:rsidRPr="00855A56">
              <w:rPr>
                <w:rFonts w:cs="Arial"/>
              </w:rPr>
              <w:t>t</w:t>
            </w:r>
            <w:r w:rsidRPr="00855A56">
              <w:rPr>
                <w:rFonts w:cs="Arial"/>
              </w:rPr>
              <w:t>nost, tem obsežnejša je njegovo varstvo.</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Life, bodily or mental integrity, human dignity and liberty enjoy the most extensive protection.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Življenje, telesna ali duševna nedotakljivost, človekovo dostojanstvo in prostost uživajo n</w:t>
            </w:r>
            <w:r w:rsidRPr="00855A56">
              <w:rPr>
                <w:rFonts w:cs="Arial"/>
              </w:rPr>
              <w:t>a</w:t>
            </w:r>
            <w:r w:rsidRPr="00855A56">
              <w:rPr>
                <w:rFonts w:cs="Arial"/>
              </w:rPr>
              <w:t>jobsežnejše varstvo.</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Extensive protection is granted to property rights, including those in intangible property.</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Stvarnim pravicam, vključno z netelesnimi dobrinami, je zagotovljeno obsežno varstvo.</w:t>
            </w:r>
          </w:p>
        </w:tc>
      </w:tr>
      <w:tr w:rsidR="00885074" w:rsidRPr="00855A56" w:rsidTr="000811C4">
        <w:trPr>
          <w:cantSplit/>
          <w:trHeight w:val="17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(4) Protection of pure economic interests or co</w:t>
            </w:r>
            <w:r w:rsidRPr="00855A56">
              <w:rPr>
                <w:rFonts w:cs="Arial"/>
              </w:rPr>
              <w:t>n</w:t>
            </w:r>
            <w:r w:rsidRPr="00855A56">
              <w:rPr>
                <w:rFonts w:cs="Arial"/>
              </w:rPr>
              <w:t>tractual relatio</w:t>
            </w:r>
            <w:r w:rsidRPr="00855A56">
              <w:rPr>
                <w:rFonts w:cs="Arial"/>
              </w:rPr>
              <w:t>n</w:t>
            </w:r>
            <w:r w:rsidRPr="00855A56">
              <w:rPr>
                <w:rFonts w:cs="Arial"/>
              </w:rPr>
              <w:t>ships may be more limited in scope. In such cases, due regard must be had especially to the proximity between the actor and the endangered person, or to the fact that the actor is aware of the fact that he will cause da</w:t>
            </w:r>
            <w:r w:rsidRPr="00855A56">
              <w:rPr>
                <w:rFonts w:cs="Arial"/>
              </w:rPr>
              <w:t>m</w:t>
            </w:r>
            <w:r w:rsidRPr="00855A56">
              <w:rPr>
                <w:rFonts w:cs="Arial"/>
              </w:rPr>
              <w:t>age even though his interests are necessarily valued lower than those of the victim.</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(4) Varstvo povsem premoženjskih interesov ali obveznostnih razmerij je lahko bolj omejeno v obsegu. V takih primerih je treba posebno p</w:t>
            </w:r>
            <w:r w:rsidRPr="00855A56">
              <w:rPr>
                <w:rFonts w:cs="Arial"/>
              </w:rPr>
              <w:t>o</w:t>
            </w:r>
            <w:r w:rsidRPr="00855A56">
              <w:rPr>
                <w:rFonts w:cs="Arial"/>
              </w:rPr>
              <w:t>zornost nameniti povezavi med storilcem in ogroženo osebo ali dejstvu, da se je storilec zavedal dejstva, da bo povzročil škodo, četudi so njegovi interesi vsekakor nižje ovrednoteni kot oškodovančevi.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(5) The scope of protection may also be a</w:t>
            </w:r>
            <w:r w:rsidRPr="00855A56">
              <w:rPr>
                <w:rFonts w:cs="Arial"/>
              </w:rPr>
              <w:t>f</w:t>
            </w:r>
            <w:r w:rsidRPr="00855A56">
              <w:rPr>
                <w:rFonts w:cs="Arial"/>
              </w:rPr>
              <w:t>fected by the nature of liability, so that an inte</w:t>
            </w:r>
            <w:r w:rsidRPr="00855A56">
              <w:rPr>
                <w:rFonts w:cs="Arial"/>
              </w:rPr>
              <w:t>r</w:t>
            </w:r>
            <w:r w:rsidRPr="00855A56">
              <w:rPr>
                <w:rFonts w:cs="Arial"/>
              </w:rPr>
              <w:t>est may receive more extensive protection against inte</w:t>
            </w:r>
            <w:r w:rsidRPr="00855A56">
              <w:rPr>
                <w:rFonts w:cs="Arial"/>
              </w:rPr>
              <w:t>n</w:t>
            </w:r>
            <w:r w:rsidRPr="00855A56">
              <w:rPr>
                <w:rFonts w:cs="Arial"/>
              </w:rPr>
              <w:t>tional harm than in other cases.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w:t>
            </w:r>
            <w:r w:rsidRPr="00855A56">
              <w:rPr>
                <w:rFonts w:ascii="Arial" w:eastAsia="SimSun" w:hAnsi="Arial" w:cs="Arial"/>
                <w:color w:val="000000"/>
                <w:sz w:val="20"/>
                <w:szCs w:val="20"/>
                <w:lang w:val="fr-FR" w:eastAsia="zh-CN"/>
              </w:rPr>
              <w:t>5) Na obseg varstva lahko vpliva tudi vrsta o</w:t>
            </w:r>
            <w:r w:rsidRPr="00855A56">
              <w:rPr>
                <w:rFonts w:ascii="Arial" w:eastAsia="SimSun" w:hAnsi="Arial" w:cs="Arial"/>
                <w:color w:val="000000"/>
                <w:sz w:val="20"/>
                <w:szCs w:val="20"/>
                <w:lang w:val="fr-FR" w:eastAsia="zh-CN"/>
              </w:rPr>
              <w:t>d</w:t>
            </w:r>
            <w:r w:rsidRPr="00855A56">
              <w:rPr>
                <w:rFonts w:ascii="Arial" w:eastAsia="SimSun" w:hAnsi="Arial" w:cs="Arial"/>
                <w:color w:val="000000"/>
                <w:sz w:val="20"/>
                <w:szCs w:val="20"/>
                <w:lang w:val="fr-FR" w:eastAsia="zh-CN"/>
              </w:rPr>
              <w:t>govornosti, tako da je lahko nek interes o</w:t>
            </w:r>
            <w:r w:rsidRPr="00855A56">
              <w:rPr>
                <w:rFonts w:ascii="Arial" w:eastAsia="SimSun" w:hAnsi="Arial" w:cs="Arial"/>
                <w:color w:val="000000"/>
                <w:sz w:val="20"/>
                <w:szCs w:val="20"/>
                <w:lang w:val="fr-FR" w:eastAsia="zh-CN"/>
              </w:rPr>
              <w:t>b</w:t>
            </w:r>
            <w:r w:rsidRPr="00855A56">
              <w:rPr>
                <w:rFonts w:ascii="Arial" w:eastAsia="SimSun" w:hAnsi="Arial" w:cs="Arial"/>
                <w:color w:val="000000"/>
                <w:sz w:val="20"/>
                <w:szCs w:val="20"/>
                <w:lang w:val="fr-FR" w:eastAsia="zh-CN"/>
              </w:rPr>
              <w:t>sežneje varovan pred namernim oškodovanjem kot je to sicer.</w:t>
            </w:r>
          </w:p>
        </w:tc>
      </w:tr>
      <w:tr w:rsidR="00885074" w:rsidRPr="00855A56" w:rsidTr="000811C4">
        <w:trPr>
          <w:cantSplit/>
          <w:trHeight w:val="10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(6) In determining the scope of protection, the interests of the actor, especially in liberty of a</w:t>
            </w:r>
            <w:r w:rsidRPr="00855A56">
              <w:rPr>
                <w:rFonts w:cs="Arial"/>
              </w:rPr>
              <w:t>c</w:t>
            </w:r>
            <w:r w:rsidRPr="00855A56">
              <w:rPr>
                <w:rFonts w:cs="Arial"/>
              </w:rPr>
              <w:t>tion and in exercising his rights, as well as public interests also have to be taken into consider</w:t>
            </w:r>
            <w:r w:rsidRPr="00855A56">
              <w:rPr>
                <w:rFonts w:cs="Arial"/>
              </w:rPr>
              <w:t>a</w:t>
            </w:r>
            <w:r w:rsidRPr="00855A56">
              <w:rPr>
                <w:rFonts w:cs="Arial"/>
              </w:rPr>
              <w:t>tion.</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(6) Pri določanju obsega varstva je treba upo</w:t>
            </w:r>
            <w:r w:rsidRPr="00855A56">
              <w:rPr>
                <w:rFonts w:cs="Arial"/>
              </w:rPr>
              <w:t>š</w:t>
            </w:r>
            <w:r w:rsidRPr="00855A56">
              <w:rPr>
                <w:rFonts w:cs="Arial"/>
              </w:rPr>
              <w:t>tevati tudi interese storilca, zlasti njegovo pro</w:t>
            </w:r>
            <w:r w:rsidRPr="00855A56">
              <w:rPr>
                <w:rFonts w:cs="Arial"/>
              </w:rPr>
              <w:t>s</w:t>
            </w:r>
            <w:r w:rsidRPr="00855A56">
              <w:rPr>
                <w:rFonts w:cs="Arial"/>
              </w:rPr>
              <w:t>tost gibanja in izvrševanja pravic, kot tudi int</w:t>
            </w:r>
            <w:r w:rsidRPr="00855A56">
              <w:rPr>
                <w:rFonts w:cs="Arial"/>
              </w:rPr>
              <w:t>e</w:t>
            </w:r>
            <w:r w:rsidRPr="00855A56">
              <w:rPr>
                <w:rFonts w:cs="Arial"/>
              </w:rPr>
              <w:t>rese javnosti.</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2:103. Legitimacy of damage</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2:103. Pravno upoštevna škoda</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Losses relating to activities or sources which are regarded as illegitimate cannot be reco</w:t>
            </w:r>
            <w:r w:rsidRPr="00855A56">
              <w:rPr>
                <w:rFonts w:cs="Arial"/>
              </w:rPr>
              <w:t>v</w:t>
            </w:r>
            <w:r w:rsidRPr="00855A56">
              <w:rPr>
                <w:rFonts w:cs="Arial"/>
              </w:rPr>
              <w:t>ered.</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Izgube, ki so posledica protipravnih ravnanj ali drugih takšnih virov, ne morejo biti povrnjene.</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2:104. Preventive expenses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2:104. Preventivni stroški</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Expenses incurred to prevent threatened da</w:t>
            </w:r>
            <w:r w:rsidRPr="00855A56">
              <w:rPr>
                <w:rFonts w:cs="Arial"/>
              </w:rPr>
              <w:t>m</w:t>
            </w:r>
            <w:r w:rsidRPr="00855A56">
              <w:rPr>
                <w:rFonts w:cs="Arial"/>
              </w:rPr>
              <w:t>age amount to recoverable damage in so far as reasonably incurred.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 xml:space="preserve">Izdatki za preprečevanje grozeče škode so </w:t>
            </w:r>
            <w:smartTag w:uri="urn:schemas-microsoft-com:office:smarttags" w:element="State">
              <w:smartTag w:uri="urn:schemas-microsoft-com:office:smarttags" w:element="place">
                <w:r w:rsidRPr="00855A56">
                  <w:rPr>
                    <w:rFonts w:cs="Arial"/>
                  </w:rPr>
                  <w:t>del</w:t>
                </w:r>
              </w:smartTag>
            </w:smartTag>
            <w:r w:rsidRPr="00855A56">
              <w:rPr>
                <w:rFonts w:cs="Arial"/>
              </w:rPr>
              <w:t xml:space="preserve"> nadomestljive škode, v kolikor so porabljeni r</w:t>
            </w:r>
            <w:r w:rsidRPr="00855A56">
              <w:rPr>
                <w:rFonts w:cs="Arial"/>
              </w:rPr>
              <w:t>a</w:t>
            </w:r>
            <w:r w:rsidRPr="00855A56">
              <w:rPr>
                <w:rFonts w:cs="Arial"/>
              </w:rPr>
              <w:t>zumno.</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2:105. Proof of damage</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2:105. Dokazilo o škodi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Damage must be proved according to normal procedural sta</w:t>
            </w:r>
            <w:r w:rsidRPr="00855A56">
              <w:rPr>
                <w:rFonts w:cs="Arial"/>
              </w:rPr>
              <w:t>n</w:t>
            </w:r>
            <w:r w:rsidRPr="00855A56">
              <w:rPr>
                <w:rFonts w:cs="Arial"/>
              </w:rPr>
              <w:t>dards. The court may estimate the extent of damage where proof of the exact amount would be too difficult or too costly.</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Škodo je treba dokazati po običajnih procesnih pravilih. Sodišče lahko oceni obseg škode, če bi bilo pretežko ali predrago dok</w:t>
            </w:r>
            <w:r w:rsidRPr="00855A56">
              <w:rPr>
                <w:rFonts w:cs="Arial"/>
              </w:rPr>
              <w:t>a</w:t>
            </w:r>
            <w:r w:rsidRPr="00855A56">
              <w:rPr>
                <w:rFonts w:cs="Arial"/>
              </w:rPr>
              <w:t>zati natančno vsoto.</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3. Causation</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3. Vzročna zveza</w:t>
            </w:r>
          </w:p>
        </w:tc>
      </w:tr>
      <w:tr w:rsidR="00885074" w:rsidRPr="00855A56" w:rsidTr="000811C4">
        <w:trPr>
          <w:cantSplit/>
          <w:trHeight w:val="45"/>
          <w:tblCellSpacing w:w="0" w:type="dxa"/>
        </w:trPr>
        <w:tc>
          <w:tcPr>
            <w:tcW w:w="4325" w:type="dxa"/>
          </w:tcPr>
          <w:p w:rsidR="00885074" w:rsidRPr="00855A56" w:rsidRDefault="00885074" w:rsidP="009D0AF3">
            <w:pPr>
              <w:pStyle w:val="OriginalHeader"/>
              <w:suppressAutoHyphens/>
              <w:wordWrap/>
              <w:rPr>
                <w:rFonts w:cs="Arial"/>
                <w:lang w:val="fr-FR"/>
              </w:rPr>
            </w:pPr>
            <w:r w:rsidRPr="00855A56">
              <w:rPr>
                <w:rFonts w:cs="Arial"/>
                <w:i/>
                <w:lang w:val="fr-CH"/>
              </w:rPr>
              <w:t>Section 1. Conditio sine qua non and qualif</w:t>
            </w:r>
            <w:r w:rsidRPr="00855A56">
              <w:rPr>
                <w:rFonts w:cs="Arial"/>
                <w:i/>
                <w:lang w:val="fr-CH"/>
              </w:rPr>
              <w:t>i</w:t>
            </w:r>
            <w:r w:rsidRPr="00855A56">
              <w:rPr>
                <w:rFonts w:cs="Arial"/>
                <w:i/>
                <w:lang w:val="fr-CH"/>
              </w:rPr>
              <w:t>cations</w:t>
            </w:r>
          </w:p>
        </w:tc>
        <w:tc>
          <w:tcPr>
            <w:tcW w:w="329" w:type="dxa"/>
          </w:tcPr>
          <w:p w:rsidR="00885074" w:rsidRPr="00855A56" w:rsidRDefault="00885074" w:rsidP="009D0AF3">
            <w:pPr>
              <w:pStyle w:val="TranslationHeader"/>
              <w:suppressAutoHyphens/>
              <w:wordWrap/>
              <w:rPr>
                <w:rFonts w:cs="Arial"/>
                <w:i/>
              </w:rPr>
            </w:pPr>
            <w:r w:rsidRPr="00855A56">
              <w:rPr>
                <w:rFonts w:cs="Arial"/>
                <w:i/>
              </w:rPr>
              <w:t> </w:t>
            </w:r>
          </w:p>
        </w:tc>
        <w:tc>
          <w:tcPr>
            <w:tcW w:w="4340" w:type="dxa"/>
          </w:tcPr>
          <w:p w:rsidR="00885074" w:rsidRPr="00855A56" w:rsidRDefault="00885074" w:rsidP="009D0AF3">
            <w:pPr>
              <w:pStyle w:val="TranslationHeader"/>
              <w:suppressAutoHyphens/>
              <w:wordWrap/>
              <w:rPr>
                <w:rFonts w:cs="Arial"/>
                <w:i/>
              </w:rPr>
            </w:pPr>
            <w:r w:rsidRPr="00855A56">
              <w:rPr>
                <w:rFonts w:cs="Arial"/>
                <w:i/>
              </w:rPr>
              <w:t>Odsek 1. Conditio sine qua non (nujen p</w:t>
            </w:r>
            <w:r w:rsidRPr="00855A56">
              <w:rPr>
                <w:rFonts w:cs="Arial"/>
                <w:i/>
              </w:rPr>
              <w:t>o</w:t>
            </w:r>
            <w:r w:rsidRPr="00855A56">
              <w:rPr>
                <w:rFonts w:cs="Arial"/>
                <w:i/>
              </w:rPr>
              <w:t>goj) in omejitve</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lang w:val="fr-FR"/>
              </w:rPr>
            </w:pPr>
            <w:r w:rsidRPr="00855A56">
              <w:rPr>
                <w:rFonts w:cs="Arial"/>
              </w:rPr>
              <w:t>Art. 3:101. Conditio sine qua non</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3:101. Conditio sine qua non (nujen pogoj)</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An activity or conduct (hereafter: activity) is a cause of the victim’s damage if, in the absence of the activity, the damage would not have o</w:t>
            </w:r>
            <w:r w:rsidRPr="00855A56">
              <w:rPr>
                <w:rFonts w:cs="Arial"/>
              </w:rPr>
              <w:t>c</w:t>
            </w:r>
            <w:r w:rsidRPr="00855A56">
              <w:rPr>
                <w:rFonts w:cs="Arial"/>
              </w:rPr>
              <w:t>curred.</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Dejavnost ali vedenje (v nadaljevanju: deja</w:t>
            </w:r>
            <w:r w:rsidRPr="00855A56">
              <w:rPr>
                <w:rFonts w:cs="Arial"/>
              </w:rPr>
              <w:t>v</w:t>
            </w:r>
            <w:r w:rsidRPr="00855A56">
              <w:rPr>
                <w:rFonts w:cs="Arial"/>
              </w:rPr>
              <w:t>nost) je vzrok oškodovančeve škode, če se brez te dejavnosti škoda ne bi pojavila.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3:102. Concurrent causes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3:102. Konkurirajoči vzroki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In case of multiple activities, where each of them alone would have caused the damage at the same time, each activity is regarded as a cause of the victim’s damage.</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Če bi vsaka od več dejavnosti sama povzročila škodo sočasno, velja za vzrok oškodovančeve škode vsaka dejavnost.</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3:103. Alternative causes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3:103. Alternativni vzroki</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In case of multiple activities, where each of them alone would have been sufficient to cause the damage, but it remains uncertain which one in fact caused it, each activity is regarded as a cause to the extent corresponding to the likel</w:t>
            </w:r>
            <w:r w:rsidRPr="00855A56">
              <w:rPr>
                <w:rFonts w:cs="Arial"/>
              </w:rPr>
              <w:t>i</w:t>
            </w:r>
            <w:r w:rsidRPr="00855A56">
              <w:rPr>
                <w:rFonts w:cs="Arial"/>
              </w:rPr>
              <w:t>hood that it may have caused the victim’s da</w:t>
            </w:r>
            <w:r w:rsidRPr="00855A56">
              <w:rPr>
                <w:rFonts w:cs="Arial"/>
              </w:rPr>
              <w:t>m</w:t>
            </w:r>
            <w:r w:rsidRPr="00855A56">
              <w:rPr>
                <w:rFonts w:cs="Arial"/>
              </w:rPr>
              <w:t>age.</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(1) Če bi vsaka od več dejavnosti sama zado</w:t>
            </w:r>
            <w:r w:rsidRPr="00855A56">
              <w:rPr>
                <w:rFonts w:cs="Arial"/>
              </w:rPr>
              <w:t>s</w:t>
            </w:r>
            <w:r w:rsidRPr="00855A56">
              <w:rPr>
                <w:rFonts w:cs="Arial"/>
              </w:rPr>
              <w:t>tovala za povzročitev škode, vendar ostaja neg</w:t>
            </w:r>
            <w:r w:rsidRPr="00855A56">
              <w:rPr>
                <w:rFonts w:cs="Arial"/>
              </w:rPr>
              <w:t>o</w:t>
            </w:r>
            <w:r w:rsidRPr="00855A56">
              <w:rPr>
                <w:rFonts w:cs="Arial"/>
              </w:rPr>
              <w:t>tovo, katera jo je povzročila v re</w:t>
            </w:r>
            <w:r w:rsidRPr="00855A56">
              <w:rPr>
                <w:rFonts w:cs="Arial"/>
              </w:rPr>
              <w:t>s</w:t>
            </w:r>
            <w:r w:rsidRPr="00855A56">
              <w:rPr>
                <w:rFonts w:cs="Arial"/>
              </w:rPr>
              <w:t>nici, velja vsaka dejavnost za vzrok v obsegu, ki ustreza verje</w:t>
            </w:r>
            <w:r w:rsidRPr="00855A56">
              <w:rPr>
                <w:rFonts w:cs="Arial"/>
              </w:rPr>
              <w:t>t</w:t>
            </w:r>
            <w:r w:rsidRPr="00855A56">
              <w:rPr>
                <w:rFonts w:cs="Arial"/>
              </w:rPr>
              <w:t>nosti povzročitve oškodovančeve škode.</w:t>
            </w:r>
          </w:p>
        </w:tc>
      </w:tr>
      <w:tr w:rsidR="00885074" w:rsidRPr="00855A56" w:rsidTr="000811C4">
        <w:trPr>
          <w:cantSplit/>
          <w:trHeight w:val="17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If, in case of multiple victims, it remains u</w:t>
            </w:r>
            <w:r w:rsidRPr="00855A56">
              <w:rPr>
                <w:rFonts w:cs="Arial"/>
              </w:rPr>
              <w:t>n</w:t>
            </w:r>
            <w:r w:rsidRPr="00855A56">
              <w:rPr>
                <w:rFonts w:cs="Arial"/>
              </w:rPr>
              <w:t>certain whether a particular victim’s damage has been caused by an activity, while it is likely that it did not cause the damage of all victims, the a</w:t>
            </w:r>
            <w:r w:rsidRPr="00855A56">
              <w:rPr>
                <w:rFonts w:cs="Arial"/>
              </w:rPr>
              <w:t>c</w:t>
            </w:r>
            <w:r w:rsidRPr="00855A56">
              <w:rPr>
                <w:rFonts w:cs="Arial"/>
              </w:rPr>
              <w:t>tivity is regarded as a cause of the damage su</w:t>
            </w:r>
            <w:r w:rsidRPr="00855A56">
              <w:rPr>
                <w:rFonts w:cs="Arial"/>
              </w:rPr>
              <w:t>f</w:t>
            </w:r>
            <w:r w:rsidRPr="00855A56">
              <w:rPr>
                <w:rFonts w:cs="Arial"/>
              </w:rPr>
              <w:t>fered by all victims in proportion to the likelihood that it may have caused the damage of a pa</w:t>
            </w:r>
            <w:r w:rsidRPr="00855A56">
              <w:rPr>
                <w:rFonts w:cs="Arial"/>
              </w:rPr>
              <w:t>r</w:t>
            </w:r>
            <w:r w:rsidRPr="00855A56">
              <w:rPr>
                <w:rFonts w:cs="Arial"/>
              </w:rPr>
              <w:t>ticular victim.</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lang w:val="ca-ES"/>
              </w:rPr>
              <w:t>(</w:t>
            </w:r>
            <w:r w:rsidRPr="00855A56">
              <w:rPr>
                <w:rFonts w:cs="Arial"/>
              </w:rPr>
              <w:t>2) Če v primeru več oškodovancev ostaja neg</w:t>
            </w:r>
            <w:r w:rsidRPr="00855A56">
              <w:rPr>
                <w:rFonts w:cs="Arial"/>
              </w:rPr>
              <w:t>o</w:t>
            </w:r>
            <w:r w:rsidRPr="00855A56">
              <w:rPr>
                <w:rFonts w:cs="Arial"/>
              </w:rPr>
              <w:t>tovo, ali je bila škoda določenega oškodovanca povzročena zaradi določene dejavnosti, verjetno pa je, da ni povzročila škode vseh oškodova</w:t>
            </w:r>
            <w:r w:rsidRPr="00855A56">
              <w:rPr>
                <w:rFonts w:cs="Arial"/>
              </w:rPr>
              <w:t>n</w:t>
            </w:r>
            <w:r w:rsidRPr="00855A56">
              <w:rPr>
                <w:rFonts w:cs="Arial"/>
              </w:rPr>
              <w:t>cev, velja ta dejavnost za vzrok škode, ki so jo utrpeli vsi oškodovanci, sorazmerno z verjetnos</w:t>
            </w:r>
            <w:r w:rsidRPr="00855A56">
              <w:rPr>
                <w:rFonts w:cs="Arial"/>
              </w:rPr>
              <w:t>t</w:t>
            </w:r>
            <w:r w:rsidRPr="00855A56">
              <w:rPr>
                <w:rFonts w:cs="Arial"/>
              </w:rPr>
              <w:t>jo povzročitve škode posameznemu oškodova</w:t>
            </w:r>
            <w:r w:rsidRPr="00855A56">
              <w:rPr>
                <w:rFonts w:cs="Arial"/>
              </w:rPr>
              <w:t>n</w:t>
            </w:r>
            <w:r w:rsidRPr="00855A56">
              <w:rPr>
                <w:rFonts w:cs="Arial"/>
              </w:rPr>
              <w:t>cu.</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3:104. Potential causes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3:104. Potencialni vzroki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If an activity has definitely and irreversibly led the victim to suffer damage, a subsequent acti</w:t>
            </w:r>
            <w:r w:rsidRPr="00855A56">
              <w:rPr>
                <w:rFonts w:cs="Arial"/>
              </w:rPr>
              <w:t>v</w:t>
            </w:r>
            <w:r w:rsidRPr="00855A56">
              <w:rPr>
                <w:rFonts w:cs="Arial"/>
              </w:rPr>
              <w:t>ity which alone would have caused the same damage is to be disregarded.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Če je neka dejavnost dokončno in nepovra</w:t>
            </w:r>
            <w:r w:rsidRPr="00855A56">
              <w:rPr>
                <w:rFonts w:cs="Arial"/>
              </w:rPr>
              <w:t>t</w:t>
            </w:r>
            <w:r w:rsidRPr="00855A56">
              <w:rPr>
                <w:rFonts w:cs="Arial"/>
              </w:rPr>
              <w:t>no povzročila škodo oškodovancu, se poznejša dejavnost, ki bi sama povzr</w:t>
            </w:r>
            <w:r w:rsidRPr="00855A56">
              <w:rPr>
                <w:rFonts w:cs="Arial"/>
              </w:rPr>
              <w:t>o</w:t>
            </w:r>
            <w:r w:rsidRPr="00855A56">
              <w:rPr>
                <w:rFonts w:cs="Arial"/>
              </w:rPr>
              <w:t>čila isto škodo, ne upošteva.</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A subsequent activity is nevertheless taken into consider</w:t>
            </w:r>
            <w:r w:rsidRPr="00855A56">
              <w:rPr>
                <w:rFonts w:cs="Arial"/>
              </w:rPr>
              <w:t>a</w:t>
            </w:r>
            <w:r w:rsidRPr="00855A56">
              <w:rPr>
                <w:rFonts w:cs="Arial"/>
              </w:rPr>
              <w:t>tion if it has led to additional or aggravated damage.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Poznejša dejavnost pa se upošteva, če je povzročila dodatno ali večjo škodo.</w:t>
            </w:r>
          </w:p>
        </w:tc>
      </w:tr>
      <w:tr w:rsidR="00885074" w:rsidRPr="00855A56" w:rsidTr="000811C4">
        <w:trPr>
          <w:cantSplit/>
          <w:trHeight w:val="1230"/>
          <w:tblCellSpacing w:w="0" w:type="dxa"/>
        </w:trPr>
        <w:tc>
          <w:tcPr>
            <w:tcW w:w="4325" w:type="dxa"/>
          </w:tcPr>
          <w:p w:rsidR="00885074" w:rsidRPr="00855A56" w:rsidRDefault="00885074" w:rsidP="009D0AF3">
            <w:pPr>
              <w:pStyle w:val="original0"/>
              <w:suppressAutoHyphens/>
              <w:rPr>
                <w:rFonts w:ascii="Arial" w:hAnsi="Arial" w:cs="Arial"/>
                <w:sz w:val="20"/>
                <w:szCs w:val="20"/>
                <w:lang w:val="en-GB"/>
              </w:rPr>
            </w:pPr>
            <w:r w:rsidRPr="00855A56">
              <w:rPr>
                <w:rFonts w:ascii="Arial" w:hAnsi="Arial" w:cs="Arial"/>
                <w:color w:val="000080"/>
                <w:sz w:val="20"/>
                <w:szCs w:val="20"/>
                <w:lang w:val="en-GB" w:eastAsia="ja-JP"/>
              </w:rPr>
              <w:t>(3) If the first activity has caused continuing damage and the subs</w:t>
            </w:r>
            <w:r w:rsidRPr="00855A56">
              <w:rPr>
                <w:rFonts w:ascii="Arial" w:hAnsi="Arial" w:cs="Arial"/>
                <w:color w:val="000080"/>
                <w:sz w:val="20"/>
                <w:szCs w:val="20"/>
                <w:lang w:val="en-GB" w:eastAsia="ja-JP"/>
              </w:rPr>
              <w:t>e</w:t>
            </w:r>
            <w:r w:rsidRPr="00855A56">
              <w:rPr>
                <w:rFonts w:ascii="Arial" w:hAnsi="Arial" w:cs="Arial"/>
                <w:color w:val="000080"/>
                <w:sz w:val="20"/>
                <w:szCs w:val="20"/>
                <w:lang w:val="en-GB" w:eastAsia="ja-JP"/>
              </w:rPr>
              <w:t>quent activity later on also would have caused it, both activities are r</w:t>
            </w:r>
            <w:r w:rsidRPr="00855A56">
              <w:rPr>
                <w:rFonts w:ascii="Arial" w:hAnsi="Arial" w:cs="Arial"/>
                <w:color w:val="000080"/>
                <w:sz w:val="20"/>
                <w:szCs w:val="20"/>
                <w:lang w:val="en-GB" w:eastAsia="ja-JP"/>
              </w:rPr>
              <w:t>e</w:t>
            </w:r>
            <w:r w:rsidRPr="00855A56">
              <w:rPr>
                <w:rFonts w:ascii="Arial" w:hAnsi="Arial" w:cs="Arial"/>
                <w:color w:val="000080"/>
                <w:sz w:val="20"/>
                <w:szCs w:val="20"/>
                <w:lang w:val="en-GB" w:eastAsia="ja-JP"/>
              </w:rPr>
              <w:t>garded as a cause of that continuing damage from that time 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(3) Če je prva dejavnost povzročila nepretrgano pojavljajočo se škodo in bi jo povzročila tudi poznejša dejavnost kasneje, od takrat obe d</w:t>
            </w:r>
            <w:r w:rsidRPr="00855A56">
              <w:rPr>
                <w:rFonts w:cs="Arial"/>
              </w:rPr>
              <w:t>e</w:t>
            </w:r>
            <w:r w:rsidRPr="00855A56">
              <w:rPr>
                <w:rFonts w:cs="Arial"/>
              </w:rPr>
              <w:t>javnosti veljata za vzrok te nepretrgano pojavlj</w:t>
            </w:r>
            <w:r w:rsidRPr="00855A56">
              <w:rPr>
                <w:rFonts w:cs="Arial"/>
              </w:rPr>
              <w:t>a</w:t>
            </w:r>
            <w:r w:rsidRPr="00855A56">
              <w:rPr>
                <w:rFonts w:cs="Arial"/>
              </w:rPr>
              <w:t>joče se škode.</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3:105. Uncertain partial causation</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3:105 Nedoločljiva sorazmerna vzročnost</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In the case of multiple activities, when it is ce</w:t>
            </w:r>
            <w:r w:rsidRPr="00855A56">
              <w:rPr>
                <w:rFonts w:cs="Arial"/>
              </w:rPr>
              <w:t>r</w:t>
            </w:r>
            <w:r w:rsidRPr="00855A56">
              <w:rPr>
                <w:rFonts w:cs="Arial"/>
              </w:rPr>
              <w:t>tain that none of them has caused the entire damage or any determinable part thereof, those that are likely to have [minimally] contributed to the damage are presumed to have caused equal shares thereof.</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Če je gotovo, da od več dejavnosti nobena od njih ni povzročila celotne škode oziroma njenega določljivega dela, velja, da so tiste, ki so ve</w:t>
            </w:r>
            <w:r w:rsidRPr="00855A56">
              <w:rPr>
                <w:rFonts w:cs="Arial"/>
              </w:rPr>
              <w:t>r</w:t>
            </w:r>
            <w:r w:rsidRPr="00855A56">
              <w:rPr>
                <w:rFonts w:cs="Arial"/>
              </w:rPr>
              <w:t>jetno (minimalno) prispevale k škodi, to pov</w:t>
            </w:r>
            <w:r w:rsidRPr="00855A56">
              <w:rPr>
                <w:rFonts w:cs="Arial"/>
              </w:rPr>
              <w:t>z</w:t>
            </w:r>
            <w:r w:rsidRPr="00855A56">
              <w:rPr>
                <w:rFonts w:cs="Arial"/>
              </w:rPr>
              <w:t>ročile v enakih deležih.</w:t>
            </w:r>
          </w:p>
        </w:tc>
      </w:tr>
      <w:tr w:rsidR="00885074" w:rsidRPr="00855A56" w:rsidTr="000811C4">
        <w:trPr>
          <w:cantSplit/>
          <w:trHeight w:val="6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3:106. Uncertain causes within the vi</w:t>
            </w:r>
            <w:r w:rsidRPr="00855A56">
              <w:rPr>
                <w:rFonts w:cs="Arial"/>
              </w:rPr>
              <w:t>c</w:t>
            </w:r>
            <w:r w:rsidRPr="00855A56">
              <w:rPr>
                <w:rFonts w:cs="Arial"/>
              </w:rPr>
              <w:t>tim’s sphere</w:t>
            </w:r>
          </w:p>
        </w:tc>
        <w:tc>
          <w:tcPr>
            <w:tcW w:w="329" w:type="dxa"/>
          </w:tcPr>
          <w:p w:rsidR="00885074" w:rsidRPr="00855A56" w:rsidRDefault="00885074" w:rsidP="009D0AF3">
            <w:pPr>
              <w:pStyle w:val="translationheader0"/>
              <w:suppressAutoHyphens/>
              <w:spacing w:line="60" w:lineRule="atLeast"/>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lang w:val="en-GB"/>
              </w:rPr>
            </w:pPr>
            <w:r w:rsidRPr="00855A56">
              <w:rPr>
                <w:rFonts w:cs="Arial"/>
              </w:rPr>
              <w:t>Člen 3:106 Negotovi vzroki v oškodovančevi sferi</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The victim has to bear his loss to the extent co</w:t>
            </w:r>
            <w:r w:rsidRPr="00855A56">
              <w:rPr>
                <w:rFonts w:cs="Arial"/>
              </w:rPr>
              <w:t>r</w:t>
            </w:r>
            <w:r w:rsidRPr="00855A56">
              <w:rPr>
                <w:rFonts w:cs="Arial"/>
              </w:rPr>
              <w:t>responding to the likelihood that it may have been caused by an activity, occurrence or other circumstance within his own sphere.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Oškodovanec mora sam nositi škodo v obsegu, ki ustreza verjetnosti, da je bila povzročena z</w:t>
            </w:r>
            <w:r w:rsidRPr="00855A56">
              <w:rPr>
                <w:rFonts w:cs="Arial"/>
              </w:rPr>
              <w:t>a</w:t>
            </w:r>
            <w:r w:rsidRPr="00855A56">
              <w:rPr>
                <w:rFonts w:cs="Arial"/>
              </w:rPr>
              <w:t>radi dejavnosti, dogodka ali druge okoliščine v njegovi lastni sferi.</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2. Scope of Liability</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i/>
                <w:iCs/>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i/>
              </w:rPr>
              <w:t>Odsek 2. Obseg odgovornosti</w:t>
            </w:r>
          </w:p>
        </w:tc>
      </w:tr>
      <w:tr w:rsidR="00885074" w:rsidRPr="00855A56" w:rsidTr="000811C4">
        <w:trPr>
          <w:cantSplit/>
          <w:trHeight w:val="135"/>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3:201. Scope of Liability</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3:201. Obseg odgovornosti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Where an activity is a cause within the meaning of Section 1 of this Chapter, whether and to what extent damage may be attributed to a pe</w:t>
            </w:r>
            <w:r w:rsidRPr="00855A56">
              <w:rPr>
                <w:rFonts w:cs="Arial"/>
              </w:rPr>
              <w:t>r</w:t>
            </w:r>
            <w:r w:rsidRPr="00855A56">
              <w:rPr>
                <w:rFonts w:cs="Arial"/>
              </w:rPr>
              <w:t>son depends on factors such as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Če je dejavnost vzrok v skladu z odsekom 1 tega poglavja, je obseg škode, ki se pripiše osebi, odvisen od dejavnikov, kot so</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the foreseeability of the damage to a reaso</w:t>
            </w:r>
            <w:r w:rsidRPr="00855A56">
              <w:rPr>
                <w:rFonts w:cs="Arial"/>
              </w:rPr>
              <w:t>n</w:t>
            </w:r>
            <w:r w:rsidRPr="00855A56">
              <w:rPr>
                <w:rFonts w:cs="Arial"/>
              </w:rPr>
              <w:t>able person at the time ofthe activity, taking into account in particular the clos</w:t>
            </w:r>
            <w:r w:rsidRPr="00855A56">
              <w:rPr>
                <w:rFonts w:cs="Arial"/>
              </w:rPr>
              <w:t>e</w:t>
            </w:r>
            <w:r w:rsidRPr="00855A56">
              <w:rPr>
                <w:rFonts w:cs="Arial"/>
              </w:rPr>
              <w:t>ness in time or space between the damaging activity and its consequence, or the magnitude of the damage in relation to the normal consequences of such an activity;</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a) predvidljivost škode za razumno osebo v času dejavnosti, upoštevajoč zlasti časovno in kraje</w:t>
            </w:r>
            <w:r w:rsidRPr="00855A56">
              <w:rPr>
                <w:rFonts w:cs="Arial"/>
              </w:rPr>
              <w:t>v</w:t>
            </w:r>
            <w:r w:rsidRPr="00855A56">
              <w:rPr>
                <w:rFonts w:cs="Arial"/>
              </w:rPr>
              <w:t>no bližino med škodljivo deja</w:t>
            </w:r>
            <w:r w:rsidRPr="00855A56">
              <w:rPr>
                <w:rFonts w:cs="Arial"/>
              </w:rPr>
              <w:t>v</w:t>
            </w:r>
            <w:r w:rsidRPr="00855A56">
              <w:rPr>
                <w:rFonts w:cs="Arial"/>
              </w:rPr>
              <w:t>nostjo in njeno posledico, ali velikost škode v povezavi z običa</w:t>
            </w:r>
            <w:r w:rsidRPr="00855A56">
              <w:rPr>
                <w:rFonts w:cs="Arial"/>
              </w:rPr>
              <w:t>j</w:t>
            </w:r>
            <w:r w:rsidRPr="00855A56">
              <w:rPr>
                <w:rFonts w:cs="Arial"/>
              </w:rPr>
              <w:t>nimi posledicami take dejavnosti;</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the nature and the value of the protected i</w:t>
            </w:r>
            <w:r w:rsidRPr="00855A56">
              <w:rPr>
                <w:rFonts w:cs="Arial"/>
              </w:rPr>
              <w:t>n</w:t>
            </w:r>
            <w:r w:rsidRPr="00855A56">
              <w:rPr>
                <w:rFonts w:cs="Arial"/>
              </w:rPr>
              <w:t>terest (Article 2:102);</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narava in vrednost varovanega interesa (člen 2:102);</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c) the basis of liability (Article 1:101);</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c) temelj odgovornosti (člen 1:101);</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 the extent of the ordinary risks of life; and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d) obsegsplošnega življenjskega tveganja; in</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e) the protective purpose of the rule that has been violated.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e) varovalni namen pravila, ki je bilo kršeno.</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TITLE III. Bases of Liability</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III DEL. Temelji odgovornosti</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4. Liability based on fault</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lang w:val="en-GB"/>
              </w:rPr>
            </w:pPr>
            <w:r w:rsidRPr="00855A56">
              <w:rPr>
                <w:rFonts w:cs="Arial"/>
              </w:rPr>
              <w:t>Poglavje 4. Odgovornost, ki temelji na krivdi</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lastRenderedPageBreak/>
              <w:t>Section 1. Conditions of liability based on fault</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lang w:val="en-GB"/>
              </w:rPr>
            </w:pPr>
            <w:r w:rsidRPr="00855A56">
              <w:rPr>
                <w:rFonts w:cs="Arial"/>
                <w:i/>
              </w:rPr>
              <w:t>Odsek 1. Predpostavke za krivdno odgovo</w:t>
            </w:r>
            <w:r w:rsidRPr="00855A56">
              <w:rPr>
                <w:rFonts w:cs="Arial"/>
                <w:i/>
              </w:rPr>
              <w:t>r</w:t>
            </w:r>
            <w:r w:rsidRPr="00855A56">
              <w:rPr>
                <w:rFonts w:cs="Arial"/>
                <w:i/>
              </w:rPr>
              <w:t>nost</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4:101. Fault</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4:101. Krivda</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person is liable on the basis of fault for inte</w:t>
            </w:r>
            <w:r w:rsidRPr="00855A56">
              <w:rPr>
                <w:rFonts w:cs="Arial"/>
              </w:rPr>
              <w:t>n</w:t>
            </w:r>
            <w:r w:rsidRPr="00855A56">
              <w:rPr>
                <w:rFonts w:cs="Arial"/>
              </w:rPr>
              <w:t>tional or negligent violation of the required sta</w:t>
            </w:r>
            <w:r w:rsidRPr="00855A56">
              <w:rPr>
                <w:rFonts w:cs="Arial"/>
              </w:rPr>
              <w:t>n</w:t>
            </w:r>
            <w:r w:rsidRPr="00855A56">
              <w:rPr>
                <w:rFonts w:cs="Arial"/>
              </w:rPr>
              <w:t>dard of conduct.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Oseba je odgovorna na krivdnem temelju za naklepno ali mal</w:t>
            </w:r>
            <w:r w:rsidRPr="00855A56">
              <w:rPr>
                <w:rFonts w:cs="Arial"/>
              </w:rPr>
              <w:t>o</w:t>
            </w:r>
            <w:r w:rsidRPr="00855A56">
              <w:rPr>
                <w:rFonts w:cs="Arial"/>
              </w:rPr>
              <w:t xml:space="preserve">marno kršitev zahtevane mere skrbnosti. </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4:102. Required standard of conduct</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4:102. Zahtevana mera skrbnosti</w:t>
            </w:r>
          </w:p>
        </w:tc>
      </w:tr>
      <w:tr w:rsidR="00885074" w:rsidRPr="00855A56" w:rsidTr="000811C4">
        <w:trPr>
          <w:cantSplit/>
          <w:trHeight w:val="23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The required standard of conduct is that of the reasonable person in the circumstances, and depends, in particular, on the nature and value of the protected interest involved, the dange</w:t>
            </w:r>
            <w:r w:rsidRPr="00855A56">
              <w:rPr>
                <w:rFonts w:cs="Arial"/>
              </w:rPr>
              <w:t>r</w:t>
            </w:r>
            <w:r w:rsidRPr="00855A56">
              <w:rPr>
                <w:rFonts w:cs="Arial"/>
              </w:rPr>
              <w:t>ousness of the activity, the expertise to be e</w:t>
            </w:r>
            <w:r w:rsidRPr="00855A56">
              <w:rPr>
                <w:rFonts w:cs="Arial"/>
              </w:rPr>
              <w:t>x</w:t>
            </w:r>
            <w:r w:rsidRPr="00855A56">
              <w:rPr>
                <w:rFonts w:cs="Arial"/>
              </w:rPr>
              <w:t>pected of a person carrying it on, the forese</w:t>
            </w:r>
            <w:r w:rsidRPr="00855A56">
              <w:rPr>
                <w:rFonts w:cs="Arial"/>
              </w:rPr>
              <w:t>e</w:t>
            </w:r>
            <w:r w:rsidRPr="00855A56">
              <w:rPr>
                <w:rFonts w:cs="Arial"/>
              </w:rPr>
              <w:t>ability of the damage, the relationship of pro</w:t>
            </w:r>
            <w:r w:rsidRPr="00855A56">
              <w:rPr>
                <w:rFonts w:cs="Arial"/>
              </w:rPr>
              <w:t>x</w:t>
            </w:r>
            <w:r w:rsidRPr="00855A56">
              <w:rPr>
                <w:rFonts w:cs="Arial"/>
              </w:rPr>
              <w:t>imity or special reliance between those involved, as well as the availability and the costs of pr</w:t>
            </w:r>
            <w:r w:rsidRPr="00855A56">
              <w:rPr>
                <w:rFonts w:cs="Arial"/>
              </w:rPr>
              <w:t>e</w:t>
            </w:r>
            <w:r w:rsidRPr="00855A56">
              <w:rPr>
                <w:rFonts w:cs="Arial"/>
              </w:rPr>
              <w:t>cautio</w:t>
            </w:r>
            <w:r w:rsidRPr="00855A56">
              <w:rPr>
                <w:rFonts w:cs="Arial"/>
              </w:rPr>
              <w:t>n</w:t>
            </w:r>
            <w:r w:rsidRPr="00855A56">
              <w:rPr>
                <w:rFonts w:cs="Arial"/>
              </w:rPr>
              <w:t>ary or alternative methods.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(1) Zahtevana mera skrbnosti je mera razumne osebe v določ</w:t>
            </w:r>
            <w:r w:rsidRPr="00855A56">
              <w:rPr>
                <w:rFonts w:cs="Arial"/>
              </w:rPr>
              <w:t>e</w:t>
            </w:r>
            <w:r w:rsidRPr="00855A56">
              <w:rPr>
                <w:rFonts w:cs="Arial"/>
              </w:rPr>
              <w:t>nih okoliščinah in je odvisna zlasti od narave in vrednosti varovanega i</w:t>
            </w:r>
            <w:r w:rsidRPr="00855A56">
              <w:rPr>
                <w:rFonts w:cs="Arial"/>
              </w:rPr>
              <w:t>n</w:t>
            </w:r>
            <w:r w:rsidRPr="00855A56">
              <w:rPr>
                <w:rFonts w:cs="Arial"/>
              </w:rPr>
              <w:t>teresa, nevarnosti dejavnosti, strokovnosti, ki se jo pričakuje od osebe, ki jo izvaja, predvidljivosti škode, bližnjega odnosa ali posebne odvisnosti med vpletenimi, kot tudi dosto</w:t>
            </w:r>
            <w:r w:rsidRPr="00855A56">
              <w:rPr>
                <w:rFonts w:cs="Arial"/>
              </w:rPr>
              <w:t>p</w:t>
            </w:r>
            <w:r w:rsidRPr="00855A56">
              <w:rPr>
                <w:rFonts w:cs="Arial"/>
              </w:rPr>
              <w:t>nosti in stroškov preventi</w:t>
            </w:r>
            <w:r w:rsidRPr="00855A56">
              <w:rPr>
                <w:rFonts w:cs="Arial"/>
              </w:rPr>
              <w:t>v</w:t>
            </w:r>
            <w:r w:rsidRPr="00855A56">
              <w:rPr>
                <w:rFonts w:cs="Arial"/>
              </w:rPr>
              <w:t>nih ali alternativnih metod.</w:t>
            </w:r>
          </w:p>
        </w:tc>
      </w:tr>
      <w:tr w:rsidR="00885074" w:rsidRPr="00855A56" w:rsidTr="000811C4">
        <w:trPr>
          <w:cantSplit/>
          <w:trHeight w:val="10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The above standard may be adjusted when due to age, mental or physical disability or due to extraordinary circumstances the person ca</w:t>
            </w:r>
            <w:r w:rsidRPr="00855A56">
              <w:rPr>
                <w:rFonts w:cs="Arial"/>
              </w:rPr>
              <w:t>n</w:t>
            </w:r>
            <w:r w:rsidRPr="00855A56">
              <w:rPr>
                <w:rFonts w:cs="Arial"/>
              </w:rPr>
              <w:t>not be expected to conform to it.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(2) Zgoraj navedena mera se lahko prilagodi, kadar se zaradi starosti, duševne oziroma t</w:t>
            </w:r>
            <w:r w:rsidRPr="00855A56">
              <w:rPr>
                <w:rFonts w:cs="Arial"/>
              </w:rPr>
              <w:t>e</w:t>
            </w:r>
            <w:r w:rsidRPr="00855A56">
              <w:rPr>
                <w:rFonts w:cs="Arial"/>
              </w:rPr>
              <w:t>lesne prizadetosti ali zaradi izrednih okoliščin od osebe ne more pričakovati, da se bo ravnala po njej.</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Rules which prescribe or forbid certain co</w:t>
            </w:r>
            <w:r w:rsidRPr="00855A56">
              <w:rPr>
                <w:rFonts w:cs="Arial"/>
              </w:rPr>
              <w:t>n</w:t>
            </w:r>
            <w:r w:rsidRPr="00855A56">
              <w:rPr>
                <w:rFonts w:cs="Arial"/>
              </w:rPr>
              <w:t>duct have to be considered when establishing the required standard of conduct.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(3) Pri ugotavljanju zahtevane mere skrbnosti je treba upoštevati pravila, ki zapovedujejo ali pr</w:t>
            </w:r>
            <w:r w:rsidRPr="00855A56">
              <w:rPr>
                <w:rFonts w:cs="Arial"/>
              </w:rPr>
              <w:t>e</w:t>
            </w:r>
            <w:r w:rsidRPr="00855A56">
              <w:rPr>
                <w:rFonts w:cs="Arial"/>
              </w:rPr>
              <w:t>povedujejo določeno vedenje.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4:103. Duty to protect others from da</w:t>
            </w:r>
            <w:r w:rsidRPr="00855A56">
              <w:rPr>
                <w:rFonts w:cs="Arial"/>
              </w:rPr>
              <w:t>m</w:t>
            </w:r>
            <w:r w:rsidRPr="00855A56">
              <w:rPr>
                <w:rFonts w:cs="Arial"/>
              </w:rPr>
              <w:t>age</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4:103. Dolžnost preprečitve škode</w:t>
            </w:r>
          </w:p>
        </w:tc>
      </w:tr>
      <w:tr w:rsidR="00885074" w:rsidRPr="00855A56" w:rsidTr="000811C4">
        <w:trPr>
          <w:cantSplit/>
          <w:trHeight w:val="15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duty to act positively to protect others from damage may exist if law so provides, or if the actor creates or controls a dangerous situation, or when there is a special relationship between parties or when the ser</w:t>
            </w:r>
            <w:r w:rsidRPr="00855A56">
              <w:rPr>
                <w:rFonts w:cs="Arial"/>
              </w:rPr>
              <w:t>i</w:t>
            </w:r>
            <w:r w:rsidRPr="00855A56">
              <w:rPr>
                <w:rFonts w:cs="Arial"/>
              </w:rPr>
              <w:t>ousness of the harm on the one side and the ease of avoiding the da</w:t>
            </w:r>
            <w:r w:rsidRPr="00855A56">
              <w:rPr>
                <w:rFonts w:cs="Arial"/>
              </w:rPr>
              <w:t>m</w:t>
            </w:r>
            <w:r w:rsidRPr="00855A56">
              <w:rPr>
                <w:rFonts w:cs="Arial"/>
              </w:rPr>
              <w:t>age on the other side point towards such a duty.</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Pozitivna dolžnost ravnanja za obvarovanje dr</w:t>
            </w:r>
            <w:r w:rsidRPr="00855A56">
              <w:rPr>
                <w:rFonts w:cs="Arial"/>
              </w:rPr>
              <w:t>u</w:t>
            </w:r>
            <w:r w:rsidRPr="00855A56">
              <w:rPr>
                <w:rFonts w:cs="Arial"/>
              </w:rPr>
              <w:t>gih pred škodo lahko obstaja na temelju pose</w:t>
            </w:r>
            <w:r w:rsidRPr="00855A56">
              <w:rPr>
                <w:rFonts w:cs="Arial"/>
              </w:rPr>
              <w:t>b</w:t>
            </w:r>
            <w:r w:rsidRPr="00855A56">
              <w:rPr>
                <w:rFonts w:cs="Arial"/>
              </w:rPr>
              <w:t>nih norm ali če storilec ustvari ali nadzira neva</w:t>
            </w:r>
            <w:r w:rsidRPr="00855A56">
              <w:rPr>
                <w:rFonts w:cs="Arial"/>
              </w:rPr>
              <w:t>r</w:t>
            </w:r>
            <w:r w:rsidRPr="00855A56">
              <w:rPr>
                <w:rFonts w:cs="Arial"/>
              </w:rPr>
              <w:t>no situacijo ali ko gre za poseben odnos med strankami ali ko resnost oškodovanja na eni strani in preprostost izogiba škodi na drugi kaž</w:t>
            </w:r>
            <w:r w:rsidRPr="00855A56">
              <w:rPr>
                <w:rFonts w:cs="Arial"/>
              </w:rPr>
              <w:t>e</w:t>
            </w:r>
            <w:r w:rsidRPr="00855A56">
              <w:rPr>
                <w:rFonts w:cs="Arial"/>
              </w:rPr>
              <w:t>ta na tako dolžnost.</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2. Reversal of the burden of proving fault</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i/>
                <w:iCs/>
                <w:sz w:val="20"/>
                <w:szCs w:val="20"/>
                <w:lang w:val="ca-ES"/>
              </w:rPr>
              <w:t> </w:t>
            </w:r>
          </w:p>
        </w:tc>
        <w:tc>
          <w:tcPr>
            <w:tcW w:w="4340" w:type="dxa"/>
          </w:tcPr>
          <w:p w:rsidR="00885074" w:rsidRPr="00855A56" w:rsidRDefault="00885074" w:rsidP="009D0AF3">
            <w:pPr>
              <w:pStyle w:val="originalheader0"/>
              <w:suppressAutoHyphens/>
              <w:rPr>
                <w:rFonts w:ascii="Arial" w:hAnsi="Arial" w:cs="Arial"/>
                <w:sz w:val="20"/>
                <w:szCs w:val="20"/>
                <w:lang w:val="en-GB"/>
              </w:rPr>
            </w:pPr>
            <w:r w:rsidRPr="00855A56">
              <w:rPr>
                <w:rFonts w:ascii="Arial" w:hAnsi="Arial" w:cs="Arial"/>
                <w:b/>
                <w:bCs/>
                <w:i/>
                <w:iCs/>
                <w:sz w:val="20"/>
                <w:szCs w:val="20"/>
                <w:lang w:val="en-GB"/>
              </w:rPr>
              <w:t>Odsek 2. Obrnitev dokaznega bremena za krivdo</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4:201. Reversal of the burden of proving fault in general</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4:201. Obrnitev dokaznega bremena za krivdo na splošno</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The burden of proving fault may be reversed in light of the gravity of the danger presented by the activity.</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(1) Dokazno breme za krivdo se lahko obrne glede na težo nevarnosti, ki jo je predstavljala dejavnost.</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The gravity of the danger is determined a</w:t>
            </w:r>
            <w:r w:rsidRPr="00855A56">
              <w:rPr>
                <w:rFonts w:cs="Arial"/>
              </w:rPr>
              <w:t>c</w:t>
            </w:r>
            <w:r w:rsidRPr="00855A56">
              <w:rPr>
                <w:rFonts w:cs="Arial"/>
              </w:rPr>
              <w:t>cording to the seriousness of possible damage in such cases as well as the likelihood that such damage might actually occur.</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(2)  Teža nevarnosti se določi v skladu z re</w:t>
            </w:r>
            <w:r w:rsidRPr="00855A56">
              <w:rPr>
                <w:rFonts w:cs="Arial"/>
              </w:rPr>
              <w:t>s</w:t>
            </w:r>
            <w:r w:rsidRPr="00855A56">
              <w:rPr>
                <w:rFonts w:cs="Arial"/>
              </w:rPr>
              <w:t>nostjo možne škode v takih primerih kot tudi z verjetnostjo, da lahko takšna škoda dejansko nast</w:t>
            </w:r>
            <w:r w:rsidRPr="00855A56">
              <w:rPr>
                <w:rFonts w:cs="Arial"/>
              </w:rPr>
              <w:t>a</w:t>
            </w:r>
            <w:r w:rsidRPr="00855A56">
              <w:rPr>
                <w:rFonts w:cs="Arial"/>
              </w:rPr>
              <w:t>ne.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4:202. Enterprise Liability</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4:202. Odgovornost podjetja</w:t>
            </w:r>
          </w:p>
        </w:tc>
      </w:tr>
      <w:tr w:rsidR="00885074" w:rsidRPr="00855A56" w:rsidTr="000811C4">
        <w:trPr>
          <w:cantSplit/>
          <w:trHeight w:val="17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A person pursuing a lasting enterprise for economic or professional purposes who uses auxiliaries or technical equi</w:t>
            </w:r>
            <w:r w:rsidRPr="00855A56">
              <w:rPr>
                <w:rFonts w:cs="Arial"/>
              </w:rPr>
              <w:t>p</w:t>
            </w:r>
            <w:r w:rsidRPr="00855A56">
              <w:rPr>
                <w:rFonts w:cs="Arial"/>
              </w:rPr>
              <w:t>ment is liable for any harm caused by a defect of such ente</w:t>
            </w:r>
            <w:r w:rsidRPr="00855A56">
              <w:rPr>
                <w:rFonts w:cs="Arial"/>
              </w:rPr>
              <w:t>r</w:t>
            </w:r>
            <w:r w:rsidRPr="00855A56">
              <w:rPr>
                <w:rFonts w:cs="Arial"/>
              </w:rPr>
              <w:t>prise or of its output unless he proves that he has co</w:t>
            </w:r>
            <w:r w:rsidRPr="00855A56">
              <w:rPr>
                <w:rFonts w:cs="Arial"/>
              </w:rPr>
              <w:t>n</w:t>
            </w:r>
            <w:r w:rsidRPr="00855A56">
              <w:rPr>
                <w:rFonts w:cs="Arial"/>
              </w:rPr>
              <w:t>formed to the required standard of conduct.</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Oseba, ki v svojem iz gospodarskih ali p</w:t>
            </w:r>
            <w:r w:rsidRPr="00855A56">
              <w:rPr>
                <w:rFonts w:cs="Arial"/>
              </w:rPr>
              <w:t>o</w:t>
            </w:r>
            <w:r w:rsidRPr="00855A56">
              <w:rPr>
                <w:rFonts w:cs="Arial"/>
              </w:rPr>
              <w:t>klicnih interesov trajno obstoječem podjetju ima pomočnike ali uporablja tehnično opremo, je odgovorna za vsako oškodovanje, ki bi ga po</w:t>
            </w:r>
            <w:r w:rsidRPr="00855A56">
              <w:rPr>
                <w:rFonts w:cs="Arial"/>
              </w:rPr>
              <w:t>v</w:t>
            </w:r>
            <w:r w:rsidRPr="00855A56">
              <w:rPr>
                <w:rFonts w:cs="Arial"/>
              </w:rPr>
              <w:t>zročila napaka podjetja ali njegovih izdelkov, razen če dokaže, da je ravnala v skladu z zaht</w:t>
            </w:r>
            <w:r w:rsidRPr="00855A56">
              <w:rPr>
                <w:rFonts w:cs="Arial"/>
              </w:rPr>
              <w:t>e</w:t>
            </w:r>
            <w:r w:rsidRPr="00855A56">
              <w:rPr>
                <w:rFonts w:cs="Arial"/>
              </w:rPr>
              <w:t>vano mero skrbnosti.</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„Defect“ is any deviation from standards that are reasonably to be expected from the ente</w:t>
            </w:r>
            <w:r w:rsidRPr="00855A56">
              <w:rPr>
                <w:rFonts w:cs="Arial"/>
              </w:rPr>
              <w:t>r</w:t>
            </w:r>
            <w:r w:rsidRPr="00855A56">
              <w:rPr>
                <w:rFonts w:cs="Arial"/>
              </w:rPr>
              <w:t>prise or from its products or se</w:t>
            </w:r>
            <w:r w:rsidRPr="00855A56">
              <w:rPr>
                <w:rFonts w:cs="Arial"/>
              </w:rPr>
              <w:t>r</w:t>
            </w:r>
            <w:r w:rsidRPr="00855A56">
              <w:rPr>
                <w:rFonts w:cs="Arial"/>
              </w:rPr>
              <w:t>vices.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»Napaka« je vsak odmik od standardov, ki se jih utemeljeno pričakuje od podjetja ali od njeg</w:t>
            </w:r>
            <w:r w:rsidRPr="00855A56">
              <w:rPr>
                <w:rFonts w:cs="Arial"/>
              </w:rPr>
              <w:t>o</w:t>
            </w:r>
            <w:r w:rsidRPr="00855A56">
              <w:rPr>
                <w:rFonts w:cs="Arial"/>
              </w:rPr>
              <w:t>vih izdelkov ali storitev.</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5. Strict liability</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5. Objektivna odgovornost</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5:101. Abnormally dangerous activities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5:101. Dejavnost s povečano nevarnos</w:t>
            </w:r>
            <w:r w:rsidRPr="00855A56">
              <w:rPr>
                <w:rFonts w:cs="Arial"/>
              </w:rPr>
              <w:t>t</w:t>
            </w:r>
            <w:r w:rsidRPr="00855A56">
              <w:rPr>
                <w:rFonts w:cs="Arial"/>
              </w:rPr>
              <w:t>jo</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A person who carries on an abnormally da</w:t>
            </w:r>
            <w:r w:rsidRPr="00855A56">
              <w:rPr>
                <w:rFonts w:cs="Arial"/>
              </w:rPr>
              <w:t>n</w:t>
            </w:r>
            <w:r w:rsidRPr="00855A56">
              <w:rPr>
                <w:rFonts w:cs="Arial"/>
              </w:rPr>
              <w:t>gerous activity is strictly liable for damage cha</w:t>
            </w:r>
            <w:r w:rsidRPr="00855A56">
              <w:rPr>
                <w:rFonts w:cs="Arial"/>
              </w:rPr>
              <w:t>r</w:t>
            </w:r>
            <w:r w:rsidRPr="00855A56">
              <w:rPr>
                <w:rFonts w:cs="Arial"/>
              </w:rPr>
              <w:t>acteristic to the risk presented by the activity and resulting from it.</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Oseba, ki izvaja dejavnost s povečano n</w:t>
            </w:r>
            <w:r w:rsidRPr="00855A56">
              <w:rPr>
                <w:rFonts w:cs="Arial"/>
              </w:rPr>
              <w:t>e</w:t>
            </w:r>
            <w:r w:rsidRPr="00855A56">
              <w:rPr>
                <w:rFonts w:cs="Arial"/>
              </w:rPr>
              <w:t>varnostjo, je objektivno odgovorna za škodo, ki je značilna za tveganje, ki ga predstavlja deja</w:t>
            </w:r>
            <w:r w:rsidRPr="00855A56">
              <w:rPr>
                <w:rFonts w:cs="Arial"/>
              </w:rPr>
              <w:t>v</w:t>
            </w:r>
            <w:r w:rsidRPr="00855A56">
              <w:rPr>
                <w:rFonts w:cs="Arial"/>
              </w:rPr>
              <w:t>nost in ki iz nje izhaja.</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An activity is abnormally dangerous if</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Dejavnost je povečano nevarna, če</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it creates a foreseeable and highly significant risk of damage even when all due care is exe</w:t>
            </w:r>
            <w:r w:rsidRPr="00855A56">
              <w:rPr>
                <w:rFonts w:cs="Arial"/>
              </w:rPr>
              <w:t>r</w:t>
            </w:r>
            <w:r w:rsidRPr="00855A56">
              <w:rPr>
                <w:rFonts w:cs="Arial"/>
              </w:rPr>
              <w:t>cised in its management and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a) ustvarja predvidljivo in veliko nevarnost škode, tudi če se pri njenem opravljanju uporabi vso dolžno skrbnost in</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it is not a matter of common usage.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ni splošna praksa.</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A risk of damage may be significant having regard to the seriou</w:t>
            </w:r>
            <w:r w:rsidRPr="00855A56">
              <w:rPr>
                <w:rFonts w:cs="Arial"/>
              </w:rPr>
              <w:t>s</w:t>
            </w:r>
            <w:r w:rsidRPr="00855A56">
              <w:rPr>
                <w:rFonts w:cs="Arial"/>
              </w:rPr>
              <w:t>ness or the likelihood of the damage.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Nevarnost škode je lahko velika glede na resnost ali verje</w:t>
            </w:r>
            <w:r w:rsidRPr="00855A56">
              <w:rPr>
                <w:rFonts w:cs="Arial"/>
              </w:rPr>
              <w:t>t</w:t>
            </w:r>
            <w:r w:rsidRPr="00855A56">
              <w:rPr>
                <w:rFonts w:cs="Arial"/>
              </w:rPr>
              <w:t>nost škode.</w:t>
            </w:r>
          </w:p>
        </w:tc>
      </w:tr>
      <w:tr w:rsidR="00885074" w:rsidRPr="00855A56" w:rsidTr="000811C4">
        <w:trPr>
          <w:cantSplit/>
          <w:trHeight w:val="10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(4) This Article does not apply to an activity which is specifically subjected to strict liability by any other provision of these Princ</w:t>
            </w:r>
            <w:r w:rsidRPr="00855A56">
              <w:rPr>
                <w:rFonts w:cs="Arial"/>
              </w:rPr>
              <w:t>i</w:t>
            </w:r>
            <w:r w:rsidRPr="00855A56">
              <w:rPr>
                <w:rFonts w:cs="Arial"/>
              </w:rPr>
              <w:t>ples or any other national law or international convention.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(4) Ta člen ne velja za dejavnost, ki je izrecno predmet objektivne odgovornosti po drugi d</w:t>
            </w:r>
            <w:r w:rsidRPr="00855A56">
              <w:rPr>
                <w:rFonts w:cs="Arial"/>
              </w:rPr>
              <w:t>o</w:t>
            </w:r>
            <w:r w:rsidRPr="00855A56">
              <w:rPr>
                <w:rFonts w:cs="Arial"/>
              </w:rPr>
              <w:t>ločbi teh načel ali druge državne zakonodaje ali mednarodnega sporazuma.</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5:102. Other strict liabilities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5:102. Druge objektivne odgovornosti</w:t>
            </w:r>
          </w:p>
        </w:tc>
      </w:tr>
      <w:tr w:rsidR="00885074" w:rsidRPr="00855A56" w:rsidTr="000811C4">
        <w:trPr>
          <w:cantSplit/>
          <w:trHeight w:val="10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National laws can provide for further categ</w:t>
            </w:r>
            <w:r w:rsidRPr="00855A56">
              <w:rPr>
                <w:rFonts w:cs="Arial"/>
              </w:rPr>
              <w:t>o</w:t>
            </w:r>
            <w:r w:rsidRPr="00855A56">
              <w:rPr>
                <w:rFonts w:cs="Arial"/>
              </w:rPr>
              <w:t>ries of strict liability for dangerous activities even if the activity is not abnormally dange</w:t>
            </w:r>
            <w:r w:rsidRPr="00855A56">
              <w:rPr>
                <w:rFonts w:cs="Arial"/>
              </w:rPr>
              <w:t>r</w:t>
            </w:r>
            <w:r w:rsidRPr="00855A56">
              <w:rPr>
                <w:rFonts w:cs="Arial"/>
              </w:rPr>
              <w:t>ous.</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(1) Državne zakonodaje lahko določajo še druge vrste objektivne odgovornosti za nevarne deja</w:t>
            </w:r>
            <w:r w:rsidRPr="00855A56">
              <w:rPr>
                <w:rFonts w:cs="Arial"/>
              </w:rPr>
              <w:t>v</w:t>
            </w:r>
            <w:r w:rsidRPr="00855A56">
              <w:rPr>
                <w:rFonts w:cs="Arial"/>
              </w:rPr>
              <w:t>nosti, tudi če dejavnost ni povečano nevarna.</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Unless national law provides otherwise, add</w:t>
            </w:r>
            <w:r w:rsidRPr="00855A56">
              <w:rPr>
                <w:rFonts w:cs="Arial"/>
              </w:rPr>
              <w:t>i</w:t>
            </w:r>
            <w:r w:rsidRPr="00855A56">
              <w:rPr>
                <w:rFonts w:cs="Arial"/>
              </w:rPr>
              <w:t>tional categories of strict liability can be found by analogy to other sources of comparable risk of damage.</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(2) Če državna zakonodaja ne določa drugače, se lahko d</w:t>
            </w:r>
            <w:r w:rsidRPr="00855A56">
              <w:rPr>
                <w:rFonts w:cs="Arial"/>
              </w:rPr>
              <w:t>o</w:t>
            </w:r>
            <w:r w:rsidRPr="00855A56">
              <w:rPr>
                <w:rFonts w:cs="Arial"/>
              </w:rPr>
              <w:t>datne vrste objektivne odgovornosti najde po analogiji z drugimi viri primerljivih n</w:t>
            </w:r>
            <w:r w:rsidRPr="00855A56">
              <w:rPr>
                <w:rFonts w:cs="Arial"/>
              </w:rPr>
              <w:t>e</w:t>
            </w:r>
            <w:r w:rsidRPr="00855A56">
              <w:rPr>
                <w:rFonts w:cs="Arial"/>
              </w:rPr>
              <w:t>varnosti škode.</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6. Liability for others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6. Odgovornost za druge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6:101. Liability for minors or mentally disabled persons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6:101. Odgovornost za mladoletnike ali duševno priz</w:t>
            </w:r>
            <w:r w:rsidRPr="00855A56">
              <w:rPr>
                <w:rFonts w:cs="Arial"/>
              </w:rPr>
              <w:t>a</w:t>
            </w:r>
            <w:r w:rsidRPr="00855A56">
              <w:rPr>
                <w:rFonts w:cs="Arial"/>
              </w:rPr>
              <w:t>dete osebe</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person in charge of another who is a minor or subject to mental disability is liable for damage caused by the other unless the person in charge shows that he has conformed to the r</w:t>
            </w:r>
            <w:r w:rsidRPr="00855A56">
              <w:rPr>
                <w:rFonts w:cs="Arial"/>
              </w:rPr>
              <w:t>e</w:t>
            </w:r>
            <w:r w:rsidRPr="00855A56">
              <w:rPr>
                <w:rFonts w:cs="Arial"/>
              </w:rPr>
              <w:t>quired standard of co</w:t>
            </w:r>
            <w:r w:rsidRPr="00855A56">
              <w:rPr>
                <w:rFonts w:cs="Arial"/>
              </w:rPr>
              <w:t>n</w:t>
            </w:r>
            <w:r w:rsidRPr="00855A56">
              <w:rPr>
                <w:rFonts w:cs="Arial"/>
              </w:rPr>
              <w:t>duct in supervision.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Oseba, ki skrbi za drugo osebo, ki je mladoletna ali duševno prizadeta, je odgovorna za škodo, ki jo povzroči druga oseba, če ne dokaže, da je pri nadzorovanju ravnala v skladu z zahtevano m</w:t>
            </w:r>
            <w:r w:rsidRPr="00855A56">
              <w:rPr>
                <w:rFonts w:cs="Arial"/>
              </w:rPr>
              <w:t>e</w:t>
            </w:r>
            <w:r w:rsidRPr="00855A56">
              <w:rPr>
                <w:rFonts w:cs="Arial"/>
              </w:rPr>
              <w:t>ro skrbnosti.</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6:102. Liability for auxiliaries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6:102. Odgovornost za pomočnike</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A person is liable for damage caused by his auxiliaries acting within the scope of their fun</w:t>
            </w:r>
            <w:r w:rsidRPr="00855A56">
              <w:rPr>
                <w:rFonts w:cs="Arial"/>
              </w:rPr>
              <w:t>c</w:t>
            </w:r>
            <w:r w:rsidRPr="00855A56">
              <w:rPr>
                <w:rFonts w:cs="Arial"/>
              </w:rPr>
              <w:t>tions provided that they violated the required standard of conduct.</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Oseba je odgovorna za škodo, ki jo povzroč</w:t>
            </w:r>
            <w:r w:rsidRPr="00855A56">
              <w:rPr>
                <w:rFonts w:cs="Arial"/>
              </w:rPr>
              <w:t>i</w:t>
            </w:r>
            <w:r w:rsidRPr="00855A56">
              <w:rPr>
                <w:rFonts w:cs="Arial"/>
              </w:rPr>
              <w:t>jo njeni pomo</w:t>
            </w:r>
            <w:r w:rsidRPr="00855A56">
              <w:rPr>
                <w:rFonts w:cs="Arial"/>
              </w:rPr>
              <w:t>č</w:t>
            </w:r>
            <w:r w:rsidRPr="00855A56">
              <w:rPr>
                <w:rFonts w:cs="Arial"/>
              </w:rPr>
              <w:t>niki, ki delujejo v obsegu svojih nalog, pod pogojem, da so kršili zahtevano mero skrbnosti.</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An independent contractor is not regarded as an auxiliary for the purposes of this Article.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Neodvisni podjetnik v smislu tega člena ne velja za pomo</w:t>
            </w:r>
            <w:r w:rsidRPr="00855A56">
              <w:rPr>
                <w:rFonts w:cs="Arial"/>
              </w:rPr>
              <w:t>č</w:t>
            </w:r>
            <w:r w:rsidRPr="00855A56">
              <w:rPr>
                <w:rFonts w:cs="Arial"/>
              </w:rPr>
              <w:t>nika.</w:t>
            </w:r>
          </w:p>
        </w:tc>
      </w:tr>
      <w:tr w:rsidR="00885074" w:rsidRPr="00855A56" w:rsidTr="000811C4">
        <w:trPr>
          <w:cantSplit/>
          <w:trHeight w:val="21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TITLE IV. Defences</w:t>
            </w:r>
          </w:p>
        </w:tc>
        <w:tc>
          <w:tcPr>
            <w:tcW w:w="329" w:type="dxa"/>
          </w:tcPr>
          <w:p w:rsidR="00885074" w:rsidRPr="00855A56" w:rsidRDefault="00885074" w:rsidP="009D0AF3">
            <w:pPr>
              <w:pStyle w:val="translationheader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IV. DEL. Ugovori</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7. Defences in general</w:t>
            </w:r>
          </w:p>
        </w:tc>
        <w:tc>
          <w:tcPr>
            <w:tcW w:w="329" w:type="dxa"/>
          </w:tcPr>
          <w:p w:rsidR="00885074" w:rsidRPr="00855A56" w:rsidRDefault="00885074" w:rsidP="009D0AF3">
            <w:pPr>
              <w:pStyle w:val="translationheader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7. Ugovori na splošno</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7:101. Defences based on justifications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7:101. Ugovori, ki temeljijo na opravič</w:t>
            </w:r>
            <w:r w:rsidRPr="00855A56">
              <w:rPr>
                <w:rFonts w:cs="Arial"/>
              </w:rPr>
              <w:t>e</w:t>
            </w:r>
            <w:r w:rsidRPr="00855A56">
              <w:rPr>
                <w:rFonts w:cs="Arial"/>
              </w:rPr>
              <w:t>nem razlogu</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Liability can be excluded if and to the extent that the actor acted legitimately</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Odgovornost je lahko izključena, če in v kol</w:t>
            </w:r>
            <w:r w:rsidRPr="00855A56">
              <w:rPr>
                <w:rFonts w:cs="Arial"/>
              </w:rPr>
              <w:t>i</w:t>
            </w:r>
            <w:r w:rsidRPr="00855A56">
              <w:rPr>
                <w:rFonts w:cs="Arial"/>
              </w:rPr>
              <w:t>kor je storilec deloval zakonito</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in defence of his own protected interest against an unlawful attack (self-defence),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a) za obrambo svojega lastnega varovalnega interesa proti nezakonitemu napadu (samo</w:t>
            </w:r>
            <w:r w:rsidRPr="00855A56">
              <w:rPr>
                <w:rFonts w:cs="Arial"/>
              </w:rPr>
              <w:t>o</w:t>
            </w:r>
            <w:r w:rsidRPr="00855A56">
              <w:rPr>
                <w:rFonts w:cs="Arial"/>
              </w:rPr>
              <w:t>bramba),</w:t>
            </w:r>
          </w:p>
        </w:tc>
      </w:tr>
      <w:tr w:rsidR="00885074" w:rsidRPr="00855A56" w:rsidTr="000811C4">
        <w:trPr>
          <w:cantSplit/>
          <w:trHeight w:val="2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under necessity,</w:t>
            </w:r>
          </w:p>
        </w:tc>
        <w:tc>
          <w:tcPr>
            <w:tcW w:w="329" w:type="dxa"/>
          </w:tcPr>
          <w:p w:rsidR="00885074" w:rsidRPr="00855A56" w:rsidRDefault="00885074" w:rsidP="009D0AF3">
            <w:pPr>
              <w:pStyle w:val="translation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v skrajni sili,</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c) because the help of the authorities could not be obtained in time (self-help),</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c) ker ni bilo možno pravočasno dobiti pomoči od pristojnih (samopomoč),</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 with the consent of the victim, or where the latter has a</w:t>
            </w:r>
            <w:r w:rsidRPr="00855A56">
              <w:rPr>
                <w:rFonts w:cs="Arial"/>
              </w:rPr>
              <w:t>s</w:t>
            </w:r>
            <w:r w:rsidRPr="00855A56">
              <w:rPr>
                <w:rFonts w:cs="Arial"/>
              </w:rPr>
              <w:t>sumed the risk of being harmed, or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d) s soglasjem oškodovanca ali kadar je slednji sprejel tveganje, da bo oškodovan ali</w:t>
            </w:r>
          </w:p>
        </w:tc>
      </w:tr>
      <w:tr w:rsidR="00885074" w:rsidRPr="00855A56" w:rsidTr="000811C4">
        <w:trPr>
          <w:cantSplit/>
          <w:trHeight w:val="3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e) by virtue of lawful authority, such as a l</w:t>
            </w:r>
            <w:r w:rsidRPr="00855A56">
              <w:rPr>
                <w:rFonts w:cs="Arial"/>
              </w:rPr>
              <w:t>i</w:t>
            </w:r>
            <w:r w:rsidRPr="00855A56">
              <w:rPr>
                <w:rFonts w:cs="Arial"/>
              </w:rPr>
              <w:t>cence.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e) po zakonitemupravičenju, kot je na primer dovoljenje.</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Whether liability is excluded depends upon the weight of these justifications on the one hand and the conditions of liability on the other.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Ali je odgovornost izključena, je odvisno od teže teh opravi</w:t>
            </w:r>
            <w:r w:rsidRPr="00855A56">
              <w:rPr>
                <w:rFonts w:cs="Arial"/>
              </w:rPr>
              <w:t>č</w:t>
            </w:r>
            <w:r w:rsidRPr="00855A56">
              <w:rPr>
                <w:rFonts w:cs="Arial"/>
              </w:rPr>
              <w:t>benih razlogov na eni strani in predpostavk odgovornosti na drugi.</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In extraordinary cases, liability may instead be reduced.</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V izrednih primerih se lahko odgovornost zmanjša.</w:t>
            </w:r>
          </w:p>
        </w:tc>
      </w:tr>
      <w:tr w:rsidR="00885074" w:rsidRPr="00855A56" w:rsidTr="000811C4">
        <w:trPr>
          <w:cantSplit/>
          <w:trHeight w:val="39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7:102. Defences against strict liability</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7:102. Ugovori proti objektivni odgovo</w:t>
            </w:r>
            <w:r w:rsidRPr="00855A56">
              <w:rPr>
                <w:rFonts w:cs="Arial"/>
              </w:rPr>
              <w:t>r</w:t>
            </w:r>
            <w:r w:rsidRPr="00855A56">
              <w:rPr>
                <w:rFonts w:cs="Arial"/>
              </w:rPr>
              <w:t>nosti</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Strict liability can be excluded or reduced if the injury was caused by an unforeseeable and irresistible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Objektivna odgovornost se lahko izključi ali omeji, če je škodo povzročila nepredvidljiva in neodvrnljiva</w:t>
            </w:r>
          </w:p>
        </w:tc>
      </w:tr>
      <w:tr w:rsidR="00885074" w:rsidRPr="00855A56" w:rsidTr="000811C4">
        <w:trPr>
          <w:cantSplit/>
          <w:trHeight w:val="1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force of nature (force majeure), or</w:t>
            </w:r>
          </w:p>
        </w:tc>
        <w:tc>
          <w:tcPr>
            <w:tcW w:w="329" w:type="dxa"/>
          </w:tcPr>
          <w:p w:rsidR="00885074" w:rsidRPr="00855A56" w:rsidRDefault="00885074" w:rsidP="009D0AF3">
            <w:pPr>
              <w:pStyle w:val="translation0"/>
              <w:suppressAutoHyphens/>
              <w:spacing w:line="150" w:lineRule="atLeast"/>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a) izjemna naravna sila (višja sila), ali</w:t>
            </w:r>
          </w:p>
        </w:tc>
      </w:tr>
      <w:tr w:rsidR="00885074" w:rsidRPr="00855A56" w:rsidTr="000811C4">
        <w:trPr>
          <w:cantSplit/>
          <w:trHeight w:val="1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conduct of a third party.</w:t>
            </w:r>
          </w:p>
        </w:tc>
        <w:tc>
          <w:tcPr>
            <w:tcW w:w="329" w:type="dxa"/>
          </w:tcPr>
          <w:p w:rsidR="00885074" w:rsidRPr="00855A56" w:rsidRDefault="00885074" w:rsidP="009D0AF3">
            <w:pPr>
              <w:pStyle w:val="translation0"/>
              <w:suppressAutoHyphens/>
              <w:spacing w:line="150" w:lineRule="atLeast"/>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ravnanje tretje osebe.</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Whether strict liability is excluded or r</w:t>
            </w:r>
            <w:r w:rsidRPr="00855A56">
              <w:rPr>
                <w:rFonts w:cs="Arial"/>
              </w:rPr>
              <w:t>e</w:t>
            </w:r>
            <w:r w:rsidRPr="00855A56">
              <w:rPr>
                <w:rFonts w:cs="Arial"/>
              </w:rPr>
              <w:t>duced, and if so, to what extent, depends upon the weight of the external influence on the one hand and the scope of liability (Article 3:201) on the other.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Ali se objektivno odgovornost izključi ali omeji in do kakšne mere, je odvisno od pomembnosti zunanjega vpliva na eni strani in obsega odg</w:t>
            </w:r>
            <w:r w:rsidRPr="00855A56">
              <w:rPr>
                <w:rFonts w:cs="Arial"/>
              </w:rPr>
              <w:t>o</w:t>
            </w:r>
            <w:r w:rsidRPr="00855A56">
              <w:rPr>
                <w:rFonts w:cs="Arial"/>
              </w:rPr>
              <w:t>vornosti (člen 3:201) na drugi.</w:t>
            </w:r>
          </w:p>
        </w:tc>
      </w:tr>
      <w:tr w:rsidR="00885074" w:rsidRPr="00855A56" w:rsidTr="000811C4">
        <w:trPr>
          <w:cantSplit/>
          <w:trHeight w:val="10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When reduced according to paragraph (1)(b), strict liability and any liability of the third party are solidary in accordance with Article 9:101 (1)(b).</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Če je objektivna odgovornost omejena po odstavku (1)(b), sta objektivna odgovornost in vsaka odgovornost tretjega sol</w:t>
            </w:r>
            <w:r w:rsidRPr="00855A56">
              <w:rPr>
                <w:rFonts w:cs="Arial"/>
              </w:rPr>
              <w:t>i</w:t>
            </w:r>
            <w:r w:rsidRPr="00855A56">
              <w:rPr>
                <w:rFonts w:cs="Arial"/>
              </w:rPr>
              <w:t>darna po členu 9:101 (1) (b).</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8. Contributory conduct or activity</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8. Soprispevek</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8:101. Contributory conduct or activity of the victim</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8:101. Soprispevek oškodovanca</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Liability can be excluded or reduced to such extent as is considered just having regard to the victim’s contributory fault and to any other ma</w:t>
            </w:r>
            <w:r w:rsidRPr="00855A56">
              <w:rPr>
                <w:rFonts w:cs="Arial"/>
              </w:rPr>
              <w:t>t</w:t>
            </w:r>
            <w:r w:rsidRPr="00855A56">
              <w:rPr>
                <w:rFonts w:cs="Arial"/>
              </w:rPr>
              <w:t>ters which would be relevant to establish or r</w:t>
            </w:r>
            <w:r w:rsidRPr="00855A56">
              <w:rPr>
                <w:rFonts w:cs="Arial"/>
              </w:rPr>
              <w:t>e</w:t>
            </w:r>
            <w:r w:rsidRPr="00855A56">
              <w:rPr>
                <w:rFonts w:cs="Arial"/>
              </w:rPr>
              <w:t>duce liability of the victim if he were the tortfe</w:t>
            </w:r>
            <w:r w:rsidRPr="00855A56">
              <w:rPr>
                <w:rFonts w:cs="Arial"/>
              </w:rPr>
              <w:t>a</w:t>
            </w:r>
            <w:r w:rsidRPr="00855A56">
              <w:rPr>
                <w:rFonts w:cs="Arial"/>
              </w:rPr>
              <w:t>sor.</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Odgovornost je lahko v skladu s pravičnostjo izključena ali zmanjšana, ob upoštevanju krivde, kolikor je prispevala k na</w:t>
            </w:r>
            <w:r w:rsidRPr="00855A56">
              <w:rPr>
                <w:rFonts w:cs="Arial"/>
              </w:rPr>
              <w:t>s</w:t>
            </w:r>
            <w:r w:rsidRPr="00855A56">
              <w:rPr>
                <w:rFonts w:cs="Arial"/>
              </w:rPr>
              <w:t>tanku škode, in vseh drugih okoliščin, ki bi bile pomembne za nast</w:t>
            </w:r>
            <w:r w:rsidRPr="00855A56">
              <w:rPr>
                <w:rFonts w:cs="Arial"/>
              </w:rPr>
              <w:t>a</w:t>
            </w:r>
            <w:r w:rsidRPr="00855A56">
              <w:rPr>
                <w:rFonts w:cs="Arial"/>
              </w:rPr>
              <w:t>nek ali zmanjšanje odgovornosti oškodovanca, če bi bila povzročitelj škode.</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Where damages are claimed with respect to the death of a person, his conduct or activity excludes or reduces liability according to para. 1.</w:t>
            </w:r>
          </w:p>
        </w:tc>
        <w:tc>
          <w:tcPr>
            <w:tcW w:w="329" w:type="dxa"/>
          </w:tcPr>
          <w:p w:rsidR="00885074" w:rsidRPr="00855A56" w:rsidRDefault="00885074" w:rsidP="009D0AF3">
            <w:pPr>
              <w:pStyle w:val="translation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Če se odškodnina zahteva za smrt osebe, njeno vedenje ali dejavnost izključi ali omeji o</w:t>
            </w:r>
            <w:r w:rsidRPr="00855A56">
              <w:rPr>
                <w:rFonts w:cs="Arial"/>
              </w:rPr>
              <w:t>d</w:t>
            </w:r>
            <w:r w:rsidRPr="00855A56">
              <w:rPr>
                <w:rFonts w:cs="Arial"/>
              </w:rPr>
              <w:t>govornost v skladu z odstavkom 1.</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The contributory conduct or activity of an auxiliary of the victim excludes or reduces the damages recoverable by the latter according to para. 1.</w:t>
            </w:r>
          </w:p>
        </w:tc>
        <w:tc>
          <w:tcPr>
            <w:tcW w:w="329" w:type="dxa"/>
          </w:tcPr>
          <w:p w:rsidR="00885074" w:rsidRPr="00855A56" w:rsidRDefault="00885074" w:rsidP="009D0AF3">
            <w:pPr>
              <w:pStyle w:val="translation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Prispevek ali dejavnost pomočnika oškod</w:t>
            </w:r>
            <w:r w:rsidRPr="00855A56">
              <w:rPr>
                <w:rFonts w:cs="Arial"/>
              </w:rPr>
              <w:t>o</w:t>
            </w:r>
            <w:r w:rsidRPr="00855A56">
              <w:rPr>
                <w:rFonts w:cs="Arial"/>
              </w:rPr>
              <w:t>vanca izključi ali zniža odškodnino, ki se sled</w:t>
            </w:r>
            <w:r w:rsidRPr="00855A56">
              <w:rPr>
                <w:rFonts w:cs="Arial"/>
              </w:rPr>
              <w:t>n</w:t>
            </w:r>
            <w:r w:rsidRPr="00855A56">
              <w:rPr>
                <w:rFonts w:cs="Arial"/>
              </w:rPr>
              <w:t>jemu povrne, v skladu z odstavkom 1.</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TITLE V. Multiple Tortfeasors</w:t>
            </w:r>
          </w:p>
        </w:tc>
        <w:tc>
          <w:tcPr>
            <w:tcW w:w="329" w:type="dxa"/>
          </w:tcPr>
          <w:p w:rsidR="00885074" w:rsidRPr="00855A56" w:rsidRDefault="00885074" w:rsidP="009D0AF3">
            <w:pPr>
              <w:pStyle w:val="translation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V. DEL. Več povzročiteljev škode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9. Multiple Tortfeasors</w:t>
            </w:r>
          </w:p>
        </w:tc>
        <w:tc>
          <w:tcPr>
            <w:tcW w:w="329" w:type="dxa"/>
          </w:tcPr>
          <w:p w:rsidR="00885074" w:rsidRPr="00855A56" w:rsidRDefault="00885074" w:rsidP="009D0AF3">
            <w:pPr>
              <w:pStyle w:val="translationheader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9. Več povzročiteljev škode</w:t>
            </w:r>
          </w:p>
        </w:tc>
      </w:tr>
      <w:tr w:rsidR="00885074" w:rsidRPr="00855A56" w:rsidTr="000811C4">
        <w:trPr>
          <w:cantSplit/>
          <w:trHeight w:val="51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9:101 Solidary and several liability: rel</w:t>
            </w:r>
            <w:r w:rsidRPr="00855A56">
              <w:rPr>
                <w:rFonts w:cs="Arial"/>
              </w:rPr>
              <w:t>a</w:t>
            </w:r>
            <w:r w:rsidRPr="00855A56">
              <w:rPr>
                <w:rFonts w:cs="Arial"/>
              </w:rPr>
              <w:t>tion between victim and multiple tortfeasors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9:101 Solidarna in individualna odg</w:t>
            </w:r>
            <w:r w:rsidRPr="00855A56">
              <w:rPr>
                <w:rFonts w:cs="Arial"/>
              </w:rPr>
              <w:t>o</w:t>
            </w:r>
            <w:r w:rsidRPr="00855A56">
              <w:rPr>
                <w:rFonts w:cs="Arial"/>
              </w:rPr>
              <w:t>vornost; odnos med oškodovancem in več povzročiteljev škode</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Liability is solidary where the whole or a di</w:t>
            </w:r>
            <w:r w:rsidRPr="00855A56">
              <w:rPr>
                <w:rFonts w:cs="Arial"/>
              </w:rPr>
              <w:t>s</w:t>
            </w:r>
            <w:r w:rsidRPr="00855A56">
              <w:rPr>
                <w:rFonts w:cs="Arial"/>
              </w:rPr>
              <w:t>tinct part of the damage suffered by the vi</w:t>
            </w:r>
            <w:r w:rsidRPr="00855A56">
              <w:rPr>
                <w:rFonts w:cs="Arial"/>
              </w:rPr>
              <w:t>c</w:t>
            </w:r>
            <w:r w:rsidRPr="00855A56">
              <w:rPr>
                <w:rFonts w:cs="Arial"/>
              </w:rPr>
              <w:t>tim is attributable to two or more persons. Liabi</w:t>
            </w:r>
            <w:r w:rsidRPr="00855A56">
              <w:rPr>
                <w:rFonts w:cs="Arial"/>
              </w:rPr>
              <w:t>l</w:t>
            </w:r>
            <w:r w:rsidRPr="00855A56">
              <w:rPr>
                <w:rFonts w:cs="Arial"/>
              </w:rPr>
              <w:t>ity is solidary where:</w:t>
            </w:r>
          </w:p>
        </w:tc>
        <w:tc>
          <w:tcPr>
            <w:tcW w:w="329" w:type="dxa"/>
          </w:tcPr>
          <w:p w:rsidR="00885074" w:rsidRPr="00855A56" w:rsidRDefault="00885074" w:rsidP="009D0AF3">
            <w:pPr>
              <w:pStyle w:val="translationheader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Odgovornost je solidarna, če se cela škoda, ki jo utrpi oškodovanec, ali njen določen del, lahko pripiše dvema ali več osebam. Odgovo</w:t>
            </w:r>
            <w:r w:rsidRPr="00855A56">
              <w:rPr>
                <w:rFonts w:cs="Arial"/>
              </w:rPr>
              <w:t>r</w:t>
            </w:r>
            <w:r w:rsidRPr="00855A56">
              <w:rPr>
                <w:rFonts w:cs="Arial"/>
              </w:rPr>
              <w:t>nost je solidarna, če:</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a) a person knowingly participates in or inst</w:t>
            </w:r>
            <w:r w:rsidRPr="00855A56">
              <w:rPr>
                <w:rFonts w:cs="Arial"/>
              </w:rPr>
              <w:t>i</w:t>
            </w:r>
            <w:r w:rsidRPr="00855A56">
              <w:rPr>
                <w:rFonts w:cs="Arial"/>
              </w:rPr>
              <w:t>gates or encourages wrongdoing by others which causes damage to the victim; or</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a) oseba zavestno sodeluje, hujska ali spodbuja protipravno dejanje drugih, ki povzroči škodo oškodovancu; ali</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b) one person’s independent behaviour or acti</w:t>
            </w:r>
            <w:r w:rsidRPr="00855A56">
              <w:rPr>
                <w:rFonts w:cs="Arial"/>
              </w:rPr>
              <w:t>v</w:t>
            </w:r>
            <w:r w:rsidRPr="00855A56">
              <w:rPr>
                <w:rFonts w:cs="Arial"/>
              </w:rPr>
              <w:t>ity causes da</w:t>
            </w:r>
            <w:r w:rsidRPr="00855A56">
              <w:rPr>
                <w:rFonts w:cs="Arial"/>
              </w:rPr>
              <w:t>m</w:t>
            </w:r>
            <w:r w:rsidRPr="00855A56">
              <w:rPr>
                <w:rFonts w:cs="Arial"/>
              </w:rPr>
              <w:t>age to the victim and the same damage is also attributable to another person.</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b) neodvisno vedenje ali dejavnost ene osebe povzroči škodo oškodovancu in se povzročitev iste škoda lahko pripiše tudi drugi osebi.</w:t>
            </w:r>
          </w:p>
        </w:tc>
      </w:tr>
      <w:tr w:rsidR="00885074" w:rsidRPr="00855A56" w:rsidTr="000811C4">
        <w:trPr>
          <w:cantSplit/>
          <w:trHeight w:val="5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c) a person is responsible for damage caused by an auxiliary in circumstances where the au</w:t>
            </w:r>
            <w:r w:rsidRPr="00855A56">
              <w:rPr>
                <w:rFonts w:cs="Arial"/>
              </w:rPr>
              <w:t>x</w:t>
            </w:r>
            <w:r w:rsidRPr="00855A56">
              <w:rPr>
                <w:rFonts w:cs="Arial"/>
              </w:rPr>
              <w:t>iliary is also liable.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c) je oseba odgovorna za škodo, ki jo povzroči njen pomočnik v okoliščinah, če je odgovoren tudi pomočnik .</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Where persons are subject to solidary liabi</w:t>
            </w:r>
            <w:r w:rsidRPr="00855A56">
              <w:rPr>
                <w:rFonts w:cs="Arial"/>
              </w:rPr>
              <w:t>l</w:t>
            </w:r>
            <w:r w:rsidRPr="00855A56">
              <w:rPr>
                <w:rFonts w:cs="Arial"/>
              </w:rPr>
              <w:t>ity, the victim may claim full compensation from any one or more of them, provided that the vi</w:t>
            </w:r>
            <w:r w:rsidRPr="00855A56">
              <w:rPr>
                <w:rFonts w:cs="Arial"/>
              </w:rPr>
              <w:t>c</w:t>
            </w:r>
            <w:r w:rsidRPr="00855A56">
              <w:rPr>
                <w:rFonts w:cs="Arial"/>
              </w:rPr>
              <w:t>tim may not recover more than the full amount of the damage suffered by him.</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Če je odgovornih več oseb solidarno, lahko oškodovanec terja polno odškodnino od kater</w:t>
            </w:r>
            <w:r w:rsidRPr="00855A56">
              <w:rPr>
                <w:rFonts w:cs="Arial"/>
              </w:rPr>
              <w:t>e</w:t>
            </w:r>
            <w:r w:rsidRPr="00855A56">
              <w:rPr>
                <w:rFonts w:cs="Arial"/>
              </w:rPr>
              <w:t>koli ali več od njih, pod pogojem, da oškodov</w:t>
            </w:r>
            <w:r w:rsidRPr="00855A56">
              <w:rPr>
                <w:rFonts w:cs="Arial"/>
              </w:rPr>
              <w:t>a</w:t>
            </w:r>
            <w:r w:rsidRPr="00855A56">
              <w:rPr>
                <w:rFonts w:cs="Arial"/>
              </w:rPr>
              <w:t>nec ne sme dobiti povrnjene več kot celotne škode, ki jo je utrpel.</w:t>
            </w:r>
          </w:p>
        </w:tc>
      </w:tr>
      <w:tr w:rsidR="00885074" w:rsidRPr="00855A56" w:rsidTr="000811C4">
        <w:trPr>
          <w:cantSplit/>
          <w:trHeight w:val="23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Damage is the same damage for the pu</w:t>
            </w:r>
            <w:r w:rsidRPr="00855A56">
              <w:rPr>
                <w:rFonts w:cs="Arial"/>
              </w:rPr>
              <w:t>r</w:t>
            </w:r>
            <w:r w:rsidRPr="00855A56">
              <w:rPr>
                <w:rFonts w:cs="Arial"/>
              </w:rPr>
              <w:t>poses of paragraph (1)(b) above when there is no reasonable basis for attributing only part of it to each of a number of persons liable to the victim. For this purpose it is for the person a</w:t>
            </w:r>
            <w:r w:rsidRPr="00855A56">
              <w:rPr>
                <w:rFonts w:cs="Arial"/>
              </w:rPr>
              <w:t>s</w:t>
            </w:r>
            <w:r w:rsidRPr="00855A56">
              <w:rPr>
                <w:rFonts w:cs="Arial"/>
              </w:rPr>
              <w:t>serting that the damage is not the same to show that it is not. Where there is such a basis, liability is se</w:t>
            </w:r>
            <w:r w:rsidRPr="00855A56">
              <w:rPr>
                <w:rFonts w:cs="Arial"/>
              </w:rPr>
              <w:t>v</w:t>
            </w:r>
            <w:r w:rsidRPr="00855A56">
              <w:rPr>
                <w:rFonts w:cs="Arial"/>
              </w:rPr>
              <w:t>eral, that is to say, each person is liable to the victim only for the part of the damage attri</w:t>
            </w:r>
            <w:r w:rsidRPr="00855A56">
              <w:rPr>
                <w:rFonts w:cs="Arial"/>
              </w:rPr>
              <w:t>b</w:t>
            </w:r>
            <w:r w:rsidRPr="00855A56">
              <w:rPr>
                <w:rFonts w:cs="Arial"/>
              </w:rPr>
              <w:t>utable to him.</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(3) Škoda je ista škoda kot po odstavku (1) (b) zgoraj, če ni nobenega razumnega razloga za pripisovanje le enega dela škoda vsaki od več oseb, ki so odgovorne oškodovancu. Kdor se sklicuje na to, da škoda ni ista, mora to dokaz</w:t>
            </w:r>
            <w:r w:rsidRPr="00855A56">
              <w:rPr>
                <w:rFonts w:cs="Arial"/>
              </w:rPr>
              <w:t>a</w:t>
            </w:r>
            <w:r w:rsidRPr="00855A56">
              <w:rPr>
                <w:rFonts w:cs="Arial"/>
              </w:rPr>
              <w:t>ti. Če obstaja tak razlog, obstaja le delna odgovo</w:t>
            </w:r>
            <w:r w:rsidRPr="00855A56">
              <w:rPr>
                <w:rFonts w:cs="Arial"/>
              </w:rPr>
              <w:t>r</w:t>
            </w:r>
            <w:r w:rsidRPr="00855A56">
              <w:rPr>
                <w:rFonts w:cs="Arial"/>
              </w:rPr>
              <w:t>nost: vsaka od oseb odgovarja oškodovancu le za del škode, ki se ji pripiše.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9:102 Relation between persons subject to solidary liability</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9:102 Razmerje med solidarnimi dolžniki</w:t>
            </w:r>
          </w:p>
        </w:tc>
      </w:tr>
      <w:tr w:rsidR="00885074" w:rsidRPr="00855A56" w:rsidTr="000811C4">
        <w:trPr>
          <w:cantSplit/>
          <w:trHeight w:val="21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A person subject to solidary liability may recover a contrib</w:t>
            </w:r>
            <w:r w:rsidRPr="00855A56">
              <w:rPr>
                <w:rFonts w:cs="Arial"/>
              </w:rPr>
              <w:t>u</w:t>
            </w:r>
            <w:r w:rsidRPr="00855A56">
              <w:rPr>
                <w:rFonts w:cs="Arial"/>
              </w:rPr>
              <w:t>tion from any other person liable to the victim in respect of the same da</w:t>
            </w:r>
            <w:r w:rsidRPr="00855A56">
              <w:rPr>
                <w:rFonts w:cs="Arial"/>
              </w:rPr>
              <w:t>m</w:t>
            </w:r>
            <w:r w:rsidRPr="00855A56">
              <w:rPr>
                <w:rFonts w:cs="Arial"/>
              </w:rPr>
              <w:t>age. This right is without prejudice to any co</w:t>
            </w:r>
            <w:r w:rsidRPr="00855A56">
              <w:rPr>
                <w:rFonts w:cs="Arial"/>
              </w:rPr>
              <w:t>n</w:t>
            </w:r>
            <w:r w:rsidRPr="00855A56">
              <w:rPr>
                <w:rFonts w:cs="Arial"/>
              </w:rPr>
              <w:t>tract between them determining the allocation of the loss or to any statutory provision or to any right to recover by reason of subrogation [cessio legis] or on the basis of unjust enrichment.</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Solidarno odgovorna oseba lahko zahteva od vsake druge osebe, ki odgovarja oškodova</w:t>
            </w:r>
            <w:r w:rsidRPr="00855A56">
              <w:rPr>
                <w:rFonts w:cs="Arial"/>
              </w:rPr>
              <w:t>n</w:t>
            </w:r>
            <w:r w:rsidRPr="00855A56">
              <w:rPr>
                <w:rFonts w:cs="Arial"/>
              </w:rPr>
              <w:t>cu za isto škodo, izravnalni znesek. Ta pravica ne vpliva na pogodbo, ki določa razdelitev škode med njima, niti na zakonske določbe niti na izravnalni zahtevek, ki temelji na zakonskem prehodu terjatve ali na pravilih neupravičene pridobitve.</w:t>
            </w:r>
          </w:p>
        </w:tc>
      </w:tr>
      <w:tr w:rsidR="00885074" w:rsidRPr="00855A56" w:rsidTr="000811C4">
        <w:trPr>
          <w:cantSplit/>
          <w:trHeight w:val="26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Subject to paragraph (3) of this Article, the amount of the contribution shall be what is co</w:t>
            </w:r>
            <w:r w:rsidRPr="00855A56">
              <w:rPr>
                <w:rFonts w:cs="Arial"/>
              </w:rPr>
              <w:t>n</w:t>
            </w:r>
            <w:r w:rsidRPr="00855A56">
              <w:rPr>
                <w:rFonts w:cs="Arial"/>
              </w:rPr>
              <w:t>sidered just in the light of the relative responsibi</w:t>
            </w:r>
            <w:r w:rsidRPr="00855A56">
              <w:rPr>
                <w:rFonts w:cs="Arial"/>
              </w:rPr>
              <w:t>l</w:t>
            </w:r>
            <w:r w:rsidRPr="00855A56">
              <w:rPr>
                <w:rFonts w:cs="Arial"/>
              </w:rPr>
              <w:t>ity for the damage of the persons liable, ha</w:t>
            </w:r>
            <w:r w:rsidRPr="00855A56">
              <w:rPr>
                <w:rFonts w:cs="Arial"/>
              </w:rPr>
              <w:t>v</w:t>
            </w:r>
            <w:r w:rsidRPr="00855A56">
              <w:rPr>
                <w:rFonts w:cs="Arial"/>
              </w:rPr>
              <w:t>ing regard to their respective degrees of fault and to any other matters which are relevant to establish or reduce their liability. A contribution may amount to full indemnification. If it is not possible to determine the relative responsibility of the pe</w:t>
            </w:r>
            <w:r w:rsidRPr="00855A56">
              <w:rPr>
                <w:rFonts w:cs="Arial"/>
              </w:rPr>
              <w:t>r</w:t>
            </w:r>
            <w:r w:rsidRPr="00855A56">
              <w:rPr>
                <w:rFonts w:cs="Arial"/>
              </w:rPr>
              <w:t>sons liable they are to be treated as equally responsible.</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Izvzemši odstavek 3 tega člena, se določi višina izravna</w:t>
            </w:r>
            <w:r w:rsidRPr="00855A56">
              <w:rPr>
                <w:rFonts w:cs="Arial"/>
              </w:rPr>
              <w:t>l</w:t>
            </w:r>
            <w:r w:rsidRPr="00855A56">
              <w:rPr>
                <w:rFonts w:cs="Arial"/>
              </w:rPr>
              <w:t>nega zahtevka tako, kot se zdi pravično, ob upoštevanju zadevne stopnje krivde in drugih, za nastanek ali zmanjšanje odgovo</w:t>
            </w:r>
            <w:r w:rsidRPr="00855A56">
              <w:rPr>
                <w:rFonts w:cs="Arial"/>
              </w:rPr>
              <w:t>r</w:t>
            </w:r>
            <w:r w:rsidRPr="00855A56">
              <w:rPr>
                <w:rFonts w:cs="Arial"/>
              </w:rPr>
              <w:t>nosti pomembnih okoliščin. Izravnalni zahtevek je lahko v višini celotne povrnitve škode. Če ni možno določiti odgovo</w:t>
            </w:r>
            <w:r w:rsidRPr="00855A56">
              <w:rPr>
                <w:rFonts w:cs="Arial"/>
              </w:rPr>
              <w:t>r</w:t>
            </w:r>
            <w:r w:rsidRPr="00855A56">
              <w:rPr>
                <w:rFonts w:cs="Arial"/>
              </w:rPr>
              <w:t>nosti vsake posamezne osebe, se te obravnavajo kot enako odgovorne.</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Where a person is liable for damage done by an auxiliary under Article 9:101 he is to be treated as bearing the entire share of the r</w:t>
            </w:r>
            <w:r w:rsidRPr="00855A56">
              <w:rPr>
                <w:rFonts w:cs="Arial"/>
              </w:rPr>
              <w:t>e</w:t>
            </w:r>
            <w:r w:rsidRPr="00855A56">
              <w:rPr>
                <w:rFonts w:cs="Arial"/>
              </w:rPr>
              <w:t>sponsibility attributable to the auxiliary for the purposes of contrib</w:t>
            </w:r>
            <w:r w:rsidRPr="00855A56">
              <w:rPr>
                <w:rFonts w:cs="Arial"/>
              </w:rPr>
              <w:t>u</w:t>
            </w:r>
            <w:r w:rsidRPr="00855A56">
              <w:rPr>
                <w:rFonts w:cs="Arial"/>
              </w:rPr>
              <w:t>tion between him and any tortfeasor other than the auxiliary.</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(3) Če je oseba odgovorna za škodo, ki jo stori pomočnik po členu 9:101, nosi celoten del odg</w:t>
            </w:r>
            <w:r w:rsidRPr="00855A56">
              <w:rPr>
                <w:rFonts w:cs="Arial"/>
              </w:rPr>
              <w:t>o</w:t>
            </w:r>
            <w:r w:rsidRPr="00855A56">
              <w:rPr>
                <w:rFonts w:cs="Arial"/>
              </w:rPr>
              <w:t>vornosti, ki je pripisana p</w:t>
            </w:r>
            <w:r w:rsidRPr="00855A56">
              <w:rPr>
                <w:rFonts w:cs="Arial"/>
              </w:rPr>
              <w:t>o</w:t>
            </w:r>
            <w:r w:rsidRPr="00855A56">
              <w:rPr>
                <w:rFonts w:cs="Arial"/>
              </w:rPr>
              <w:t>močniku, mora nositi tudi delež odgovornosti, ki se pripiše pomočniku, če gre za izravnavo drugemu povzročitelju škode, razen pomočniku.</w:t>
            </w:r>
            <w:r w:rsidRPr="00855A56">
              <w:rPr>
                <w:rFonts w:cs="Arial"/>
                <w:lang w:val="en-GB"/>
              </w:rPr>
              <w:t xml:space="preserve"> </w:t>
            </w:r>
          </w:p>
        </w:tc>
      </w:tr>
      <w:tr w:rsidR="00885074" w:rsidRPr="00855A56" w:rsidTr="000811C4">
        <w:trPr>
          <w:cantSplit/>
          <w:trHeight w:val="21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(4) The obligation to make contribution is se</w:t>
            </w:r>
            <w:r w:rsidRPr="00855A56">
              <w:rPr>
                <w:rFonts w:cs="Arial"/>
              </w:rPr>
              <w:t>v</w:t>
            </w:r>
            <w:r w:rsidRPr="00855A56">
              <w:rPr>
                <w:rFonts w:cs="Arial"/>
              </w:rPr>
              <w:t>eral, that is to say, the person subject to it is liable only for his apportioned share of respons</w:t>
            </w:r>
            <w:r w:rsidRPr="00855A56">
              <w:rPr>
                <w:rFonts w:cs="Arial"/>
              </w:rPr>
              <w:t>i</w:t>
            </w:r>
            <w:r w:rsidRPr="00855A56">
              <w:rPr>
                <w:rFonts w:cs="Arial"/>
              </w:rPr>
              <w:t>bility for the damage under this Article; but where it is not possible to enforce a judgment for contr</w:t>
            </w:r>
            <w:r w:rsidRPr="00855A56">
              <w:rPr>
                <w:rFonts w:cs="Arial"/>
              </w:rPr>
              <w:t>i</w:t>
            </w:r>
            <w:r w:rsidRPr="00855A56">
              <w:rPr>
                <w:rFonts w:cs="Arial"/>
              </w:rPr>
              <w:t>bution against one person liable his share is to be reallocated among the other persons liable in proportion to their responsibility.</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(4) Obveznost dati izravnavo je delna: zavez</w:t>
            </w:r>
            <w:r w:rsidRPr="00855A56">
              <w:rPr>
                <w:rFonts w:cs="Arial"/>
              </w:rPr>
              <w:t>a</w:t>
            </w:r>
            <w:r w:rsidRPr="00855A56">
              <w:rPr>
                <w:rFonts w:cs="Arial"/>
              </w:rPr>
              <w:t>nec odgovarja le za svoj del odgovornosti za škodo po tem členu; toda če ni možno izvršiti sodbe za glede izravnalnega zneska zoper z</w:t>
            </w:r>
            <w:r w:rsidRPr="00855A56">
              <w:rPr>
                <w:rFonts w:cs="Arial"/>
              </w:rPr>
              <w:t>a</w:t>
            </w:r>
            <w:r w:rsidRPr="00855A56">
              <w:rPr>
                <w:rFonts w:cs="Arial"/>
              </w:rPr>
              <w:t>vezanca, se njegov delež razdeli med ostalimi odgovornimi osebami v skladu z njihovo odg</w:t>
            </w:r>
            <w:r w:rsidRPr="00855A56">
              <w:rPr>
                <w:rFonts w:cs="Arial"/>
              </w:rPr>
              <w:t>o</w:t>
            </w:r>
            <w:r w:rsidRPr="00855A56">
              <w:rPr>
                <w:rFonts w:cs="Arial"/>
              </w:rPr>
              <w:t>vornostjo.</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TITLE VI. Remedies</w:t>
            </w:r>
          </w:p>
        </w:tc>
        <w:tc>
          <w:tcPr>
            <w:tcW w:w="329" w:type="dxa"/>
          </w:tcPr>
          <w:p w:rsidR="00885074" w:rsidRPr="00855A56" w:rsidRDefault="00885074" w:rsidP="009D0AF3">
            <w:pPr>
              <w:pStyle w:val="translation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VI. DEL. Pravna sredstva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Chapter 10. Damages</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Poglavje 10. Odškodnina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1. Damages in general</w:t>
            </w:r>
          </w:p>
        </w:tc>
        <w:tc>
          <w:tcPr>
            <w:tcW w:w="329" w:type="dxa"/>
          </w:tcPr>
          <w:p w:rsidR="00885074" w:rsidRPr="00855A56" w:rsidRDefault="00885074" w:rsidP="009D0AF3">
            <w:pPr>
              <w:pStyle w:val="translationheader0"/>
              <w:suppressAutoHyphens/>
              <w:spacing w:line="150" w:lineRule="atLeast"/>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i/>
              </w:rPr>
              <w:t>Odsek 1. Odškodnina na splošno</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10:101. Nature and purpose of damages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10:101. Bistvo in namen odškodnine</w:t>
            </w:r>
          </w:p>
        </w:tc>
      </w:tr>
      <w:tr w:rsidR="00885074" w:rsidRPr="00855A56" w:rsidTr="000811C4">
        <w:trPr>
          <w:cantSplit/>
          <w:trHeight w:val="141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Damages are a money payment to compensate the victim, that is to say, to restore him, so far as money can, to the position he would have been in if the wrong complained of had not been committed. Damages also serve the aim of pr</w:t>
            </w:r>
            <w:r w:rsidRPr="00855A56">
              <w:rPr>
                <w:rFonts w:cs="Arial"/>
              </w:rPr>
              <w:t>e</w:t>
            </w:r>
            <w:r w:rsidRPr="00855A56">
              <w:rPr>
                <w:rFonts w:cs="Arial"/>
              </w:rPr>
              <w:t>venting harm.</w:t>
            </w:r>
          </w:p>
        </w:tc>
        <w:tc>
          <w:tcPr>
            <w:tcW w:w="329" w:type="dxa"/>
          </w:tcPr>
          <w:p w:rsidR="00885074" w:rsidRPr="00855A56" w:rsidRDefault="00885074" w:rsidP="009D0AF3">
            <w:pPr>
              <w:pStyle w:val="translationheader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Odškodnina je denarno plačilo za nadomestilo škode oškodovancu, to se pravi, da se ga, kol</w:t>
            </w:r>
            <w:r w:rsidRPr="00855A56">
              <w:rPr>
                <w:rFonts w:cs="Arial"/>
              </w:rPr>
              <w:t>i</w:t>
            </w:r>
            <w:r w:rsidRPr="00855A56">
              <w:rPr>
                <w:rFonts w:cs="Arial"/>
              </w:rPr>
              <w:t>kor je to mogoče z denarjem, vrne v položaj, v katerem bi bil, če škodni dogodek ne bi bil na</w:t>
            </w:r>
            <w:r w:rsidRPr="00855A56">
              <w:rPr>
                <w:rFonts w:cs="Arial"/>
              </w:rPr>
              <w:t>s</w:t>
            </w:r>
            <w:r w:rsidRPr="00855A56">
              <w:rPr>
                <w:rFonts w:cs="Arial"/>
              </w:rPr>
              <w:t>tal. Odškodnine služijo tudi cilju preprečevanja oškodovanja.</w:t>
            </w:r>
          </w:p>
        </w:tc>
      </w:tr>
      <w:tr w:rsidR="00885074" w:rsidRPr="00855A56" w:rsidTr="000811C4">
        <w:trPr>
          <w:cantSplit/>
          <w:trHeight w:val="330"/>
          <w:tblCellSpacing w:w="0" w:type="dxa"/>
        </w:trPr>
        <w:tc>
          <w:tcPr>
            <w:tcW w:w="4325" w:type="dxa"/>
          </w:tcPr>
          <w:p w:rsidR="00885074" w:rsidRPr="00855A56" w:rsidRDefault="00885074" w:rsidP="009D0AF3">
            <w:pPr>
              <w:pStyle w:val="TranslationHeader"/>
              <w:suppressAutoHyphens/>
              <w:wordWrap/>
              <w:rPr>
                <w:rFonts w:eastAsia="Times New Roman" w:cs="Arial"/>
                <w:color w:val="000080"/>
                <w:lang w:val="en-GB" w:eastAsia="ja-JP"/>
              </w:rPr>
            </w:pPr>
            <w:r w:rsidRPr="00855A56">
              <w:rPr>
                <w:rFonts w:eastAsia="Times New Roman" w:cs="Arial"/>
                <w:color w:val="000080"/>
                <w:lang w:val="en-GB" w:eastAsia="ja-JP"/>
              </w:rPr>
              <w:t>Art. 10:102. Lump sum or periodical pa</w:t>
            </w:r>
            <w:r w:rsidRPr="00855A56">
              <w:rPr>
                <w:rFonts w:eastAsia="Times New Roman" w:cs="Arial"/>
                <w:color w:val="000080"/>
                <w:lang w:val="en-GB" w:eastAsia="ja-JP"/>
              </w:rPr>
              <w:t>y</w:t>
            </w:r>
            <w:r w:rsidRPr="00855A56">
              <w:rPr>
                <w:rFonts w:eastAsia="Times New Roman" w:cs="Arial"/>
                <w:color w:val="000080"/>
                <w:lang w:val="en-GB" w:eastAsia="ja-JP"/>
              </w:rPr>
              <w:t>ments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10:102. Enkratni znesek ali denarna re</w:t>
            </w:r>
            <w:r w:rsidRPr="00855A56">
              <w:rPr>
                <w:rFonts w:cs="Arial"/>
              </w:rPr>
              <w:t>n</w:t>
            </w:r>
            <w:r w:rsidRPr="00855A56">
              <w:rPr>
                <w:rFonts w:cs="Arial"/>
              </w:rPr>
              <w:t>ta</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Damages are awarded in a lump sum or as per</w:t>
            </w:r>
            <w:r w:rsidRPr="00855A56">
              <w:rPr>
                <w:rFonts w:cs="Arial"/>
              </w:rPr>
              <w:t>i</w:t>
            </w:r>
            <w:r w:rsidRPr="00855A56">
              <w:rPr>
                <w:rFonts w:cs="Arial"/>
              </w:rPr>
              <w:t>odical payments as appropriate with particular regard to the interests of the victim.</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Odškodnina se plača v enkratnem znesku ali kot denarna renta, kakor je primerno zlasti glede na oškodovančeve interese .</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10:103. Benefits gained through the damaging event</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lang w:val="en-GB"/>
              </w:rPr>
            </w:pPr>
            <w:r w:rsidRPr="00855A56">
              <w:rPr>
                <w:rFonts w:cs="Arial"/>
              </w:rPr>
              <w:t>Člen 10:103. Koristi, pridobljene s škodnim dogodkom</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When determining the amount of damages benefits which the injured party gains through the damaging event are to be taken into a</w:t>
            </w:r>
            <w:r w:rsidRPr="00855A56">
              <w:rPr>
                <w:rFonts w:cs="Arial"/>
              </w:rPr>
              <w:t>c</w:t>
            </w:r>
            <w:r w:rsidRPr="00855A56">
              <w:rPr>
                <w:rFonts w:cs="Arial"/>
              </w:rPr>
              <w:t>count unless this cannot be reconciled with the pu</w:t>
            </w:r>
            <w:r w:rsidRPr="00855A56">
              <w:rPr>
                <w:rFonts w:cs="Arial"/>
              </w:rPr>
              <w:t>r</w:t>
            </w:r>
            <w:r w:rsidRPr="00855A56">
              <w:rPr>
                <w:rFonts w:cs="Arial"/>
              </w:rPr>
              <w:t>pose of the benefit.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Pri odmeri odškodnine je treba upoštevati koristi, ki jih je oškodovanec pridobil zaradi škodnega dogodka, razen če je to v nasprotju z nam</w:t>
            </w:r>
            <w:r w:rsidRPr="00855A56">
              <w:rPr>
                <w:rFonts w:cs="Arial"/>
              </w:rPr>
              <w:t>e</w:t>
            </w:r>
            <w:r w:rsidRPr="00855A56">
              <w:rPr>
                <w:rFonts w:cs="Arial"/>
              </w:rPr>
              <w:t>nom koristi.</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10:104. Restoration in kind</w:t>
            </w:r>
          </w:p>
        </w:tc>
        <w:tc>
          <w:tcPr>
            <w:tcW w:w="329" w:type="dxa"/>
          </w:tcPr>
          <w:p w:rsidR="00885074" w:rsidRPr="00855A56" w:rsidRDefault="00885074" w:rsidP="009D0AF3">
            <w:pPr>
              <w:pStyle w:val="translation0"/>
              <w:suppressAutoHyphens/>
              <w:rPr>
                <w:rFonts w:ascii="Arial" w:hAnsi="Arial" w:cs="Arial"/>
                <w:sz w:val="20"/>
                <w:szCs w:val="20"/>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10:104. Vračilo v naravi</w:t>
            </w:r>
          </w:p>
        </w:tc>
      </w:tr>
      <w:tr w:rsidR="00885074" w:rsidRPr="00855A56" w:rsidTr="000811C4">
        <w:trPr>
          <w:cantSplit/>
          <w:trHeight w:val="87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Instead of damages, restoration in kind can be claimed by the injured party as far as it is poss</w:t>
            </w:r>
            <w:r w:rsidRPr="00855A56">
              <w:rPr>
                <w:rFonts w:cs="Arial"/>
              </w:rPr>
              <w:t>i</w:t>
            </w:r>
            <w:r w:rsidRPr="00855A56">
              <w:rPr>
                <w:rFonts w:cs="Arial"/>
              </w:rPr>
              <w:t>ble and not too burdensome to the other party.</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Namesto odškodnine lahko oškodovana stranka zahteva vračilo v naravi, kolikor je mogoče in ni preobremenjujoče za drugo stran.</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2. Pecuniary damage</w:t>
            </w:r>
          </w:p>
        </w:tc>
        <w:tc>
          <w:tcPr>
            <w:tcW w:w="329" w:type="dxa"/>
          </w:tcPr>
          <w:p w:rsidR="00885074" w:rsidRPr="00855A56" w:rsidRDefault="00885074" w:rsidP="009D0AF3">
            <w:pPr>
              <w:pStyle w:val="TranslationHeader"/>
              <w:suppressAutoHyphens/>
              <w:wordWrap/>
              <w:rPr>
                <w:rFonts w:cs="Arial"/>
                <w:i/>
              </w:rPr>
            </w:pPr>
            <w:r w:rsidRPr="00855A56">
              <w:rPr>
                <w:rFonts w:cs="Arial"/>
                <w:i/>
              </w:rPr>
              <w:t> </w:t>
            </w:r>
          </w:p>
        </w:tc>
        <w:tc>
          <w:tcPr>
            <w:tcW w:w="4340" w:type="dxa"/>
          </w:tcPr>
          <w:p w:rsidR="00885074" w:rsidRPr="00855A56" w:rsidRDefault="00885074" w:rsidP="009D0AF3">
            <w:pPr>
              <w:pStyle w:val="TranslationHeader"/>
              <w:suppressAutoHyphens/>
              <w:wordWrap/>
              <w:rPr>
                <w:rFonts w:cs="Arial"/>
                <w:i/>
              </w:rPr>
            </w:pPr>
            <w:r w:rsidRPr="00855A56">
              <w:rPr>
                <w:rFonts w:cs="Arial"/>
                <w:i/>
              </w:rPr>
              <w:t>Odsek 2. Premoženjska škoda</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10:201. Nature and determination of p</w:t>
            </w:r>
            <w:r w:rsidRPr="00855A56">
              <w:rPr>
                <w:rFonts w:cs="Arial"/>
              </w:rPr>
              <w:t>e</w:t>
            </w:r>
            <w:r w:rsidRPr="00855A56">
              <w:rPr>
                <w:rFonts w:cs="Arial"/>
              </w:rPr>
              <w:t>cuniary damage</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10:201. Narava in določitev premožen</w:t>
            </w:r>
            <w:r w:rsidRPr="00855A56">
              <w:rPr>
                <w:rFonts w:cs="Arial"/>
              </w:rPr>
              <w:t>j</w:t>
            </w:r>
            <w:r w:rsidRPr="00855A56">
              <w:rPr>
                <w:rFonts w:cs="Arial"/>
              </w:rPr>
              <w:t>ske škode</w:t>
            </w:r>
          </w:p>
        </w:tc>
      </w:tr>
      <w:tr w:rsidR="00885074" w:rsidRPr="00855A56" w:rsidTr="000811C4">
        <w:trPr>
          <w:cantSplit/>
          <w:trHeight w:val="15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Recoverable pecuniary damage is a diminution of the victim’s patrimony caused by the dama</w:t>
            </w:r>
            <w:r w:rsidRPr="00855A56">
              <w:rPr>
                <w:rFonts w:cs="Arial"/>
              </w:rPr>
              <w:t>g</w:t>
            </w:r>
            <w:r w:rsidRPr="00855A56">
              <w:rPr>
                <w:rFonts w:cs="Arial"/>
              </w:rPr>
              <w:t>ing event. Such damage is generally determined as concretely as possible but it may be dete</w:t>
            </w:r>
            <w:r w:rsidRPr="00855A56">
              <w:rPr>
                <w:rFonts w:cs="Arial"/>
              </w:rPr>
              <w:t>r</w:t>
            </w:r>
            <w:r w:rsidRPr="00855A56">
              <w:rPr>
                <w:rFonts w:cs="Arial"/>
              </w:rPr>
              <w:t>mined abstractly when appropriate, for example by refe</w:t>
            </w:r>
            <w:r w:rsidRPr="00855A56">
              <w:rPr>
                <w:rFonts w:cs="Arial"/>
              </w:rPr>
              <w:t>r</w:t>
            </w:r>
            <w:r w:rsidRPr="00855A56">
              <w:rPr>
                <w:rFonts w:cs="Arial"/>
              </w:rPr>
              <w:t>ence to a market value.</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Nadomestljiva premoženjska škoda je zma</w:t>
            </w:r>
            <w:r w:rsidRPr="00855A56">
              <w:rPr>
                <w:rFonts w:cs="Arial"/>
              </w:rPr>
              <w:t>n</w:t>
            </w:r>
            <w:r w:rsidRPr="00855A56">
              <w:rPr>
                <w:rFonts w:cs="Arial"/>
              </w:rPr>
              <w:t>jšanje oškodovančevega premoženja, ki ga po</w:t>
            </w:r>
            <w:r w:rsidRPr="00855A56">
              <w:rPr>
                <w:rFonts w:cs="Arial"/>
              </w:rPr>
              <w:t>v</w:t>
            </w:r>
            <w:r w:rsidRPr="00855A56">
              <w:rPr>
                <w:rFonts w:cs="Arial"/>
              </w:rPr>
              <w:t>zroči škodni dogodek. Taka škoda se običajno določi čim bolj konkretno, vendar se lahko, če je tako primerno, določi abstraktno, na primer s sklicevanjem na tržno vrednost.</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10:202. Personal injury and death</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10:202. Osebna poškodba in smrt</w:t>
            </w:r>
          </w:p>
        </w:tc>
      </w:tr>
      <w:tr w:rsidR="00885074" w:rsidRPr="00855A56" w:rsidTr="000811C4">
        <w:trPr>
          <w:cantSplit/>
          <w:trHeight w:val="15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In the case of personal injury, which includes injury to bodily health and to mental health amounting to a recognised illness, pecuniary damage includes loss of income, impairment of ear</w:t>
            </w:r>
            <w:r w:rsidRPr="00855A56">
              <w:rPr>
                <w:rFonts w:cs="Arial"/>
              </w:rPr>
              <w:t>n</w:t>
            </w:r>
            <w:r w:rsidRPr="00855A56">
              <w:rPr>
                <w:rFonts w:cs="Arial"/>
              </w:rPr>
              <w:t>ing capacity (even if unaccompanied by any loss of income) and reasonable e</w:t>
            </w:r>
            <w:r w:rsidRPr="00855A56">
              <w:rPr>
                <w:rFonts w:cs="Arial"/>
              </w:rPr>
              <w:t>x</w:t>
            </w:r>
            <w:r w:rsidRPr="00855A56">
              <w:rPr>
                <w:rFonts w:cs="Arial"/>
              </w:rPr>
              <w:t>penses, such as the cost of medical care.</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(1) V primeru osebne poškodbe, ki vključuje škodo na telesnem in duševnem zdravju, ki pr</w:t>
            </w:r>
            <w:r w:rsidRPr="00855A56">
              <w:rPr>
                <w:rFonts w:cs="Arial"/>
              </w:rPr>
              <w:t>i</w:t>
            </w:r>
            <w:r w:rsidRPr="00855A56">
              <w:rPr>
                <w:rFonts w:cs="Arial"/>
              </w:rPr>
              <w:t>pelje do priznane bolezni, vključuje premožen</w:t>
            </w:r>
            <w:r w:rsidRPr="00855A56">
              <w:rPr>
                <w:rFonts w:cs="Arial"/>
              </w:rPr>
              <w:t>j</w:t>
            </w:r>
            <w:r w:rsidRPr="00855A56">
              <w:rPr>
                <w:rFonts w:cs="Arial"/>
              </w:rPr>
              <w:t>ska škoda izpad dohodka, zmanjšanje sposo</w:t>
            </w:r>
            <w:r w:rsidRPr="00855A56">
              <w:rPr>
                <w:rFonts w:cs="Arial"/>
              </w:rPr>
              <w:t>b</w:t>
            </w:r>
            <w:r w:rsidRPr="00855A56">
              <w:rPr>
                <w:rFonts w:cs="Arial"/>
              </w:rPr>
              <w:t>nosti za zaslužek (tudi če ga ne spremlja izguba dohodka) in utemeljene stroške, kot so stroški zdravstvene oskrbe.</w:t>
            </w:r>
          </w:p>
        </w:tc>
      </w:tr>
      <w:tr w:rsidR="00885074" w:rsidRPr="00855A56" w:rsidTr="000811C4">
        <w:trPr>
          <w:cantSplit/>
          <w:trHeight w:val="12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In the case of death, persons such as family members whom the deceased maintained or would have maintained if death had not o</w:t>
            </w:r>
            <w:r w:rsidRPr="00855A56">
              <w:rPr>
                <w:rFonts w:cs="Arial"/>
              </w:rPr>
              <w:t>c</w:t>
            </w:r>
            <w:r w:rsidRPr="00855A56">
              <w:rPr>
                <w:rFonts w:cs="Arial"/>
              </w:rPr>
              <w:t>curred are treated as having suffered recoverable da</w:t>
            </w:r>
            <w:r w:rsidRPr="00855A56">
              <w:rPr>
                <w:rFonts w:cs="Arial"/>
              </w:rPr>
              <w:t>m</w:t>
            </w:r>
            <w:r w:rsidRPr="00855A56">
              <w:rPr>
                <w:rFonts w:cs="Arial"/>
              </w:rPr>
              <w:t>age to the extent of loss of that su</w:t>
            </w:r>
            <w:r w:rsidRPr="00855A56">
              <w:rPr>
                <w:rFonts w:cs="Arial"/>
              </w:rPr>
              <w:t>p</w:t>
            </w:r>
            <w:r w:rsidRPr="00855A56">
              <w:rPr>
                <w:rFonts w:cs="Arial"/>
              </w:rPr>
              <w:t>port.</w:t>
            </w:r>
          </w:p>
        </w:tc>
        <w:tc>
          <w:tcPr>
            <w:tcW w:w="329" w:type="dxa"/>
          </w:tcPr>
          <w:p w:rsidR="00885074" w:rsidRPr="00855A56" w:rsidRDefault="00885074" w:rsidP="009D0AF3">
            <w:pPr>
              <w:pStyle w:val="Translation"/>
              <w:suppressAutoHyphens/>
              <w:wordWrap/>
              <w:rPr>
                <w:rFonts w:cs="Arial"/>
              </w:rPr>
            </w:pPr>
            <w:r w:rsidRPr="00855A56">
              <w:rPr>
                <w:rFonts w:cs="Arial"/>
              </w:rPr>
              <w:t> </w:t>
            </w:r>
          </w:p>
        </w:tc>
        <w:tc>
          <w:tcPr>
            <w:tcW w:w="4340" w:type="dxa"/>
          </w:tcPr>
          <w:p w:rsidR="00885074" w:rsidRPr="00855A56" w:rsidRDefault="00885074" w:rsidP="009D0AF3">
            <w:pPr>
              <w:pStyle w:val="Translation"/>
              <w:suppressAutoHyphens/>
              <w:wordWrap/>
              <w:rPr>
                <w:rFonts w:cs="Arial"/>
              </w:rPr>
            </w:pPr>
            <w:r w:rsidRPr="00855A56">
              <w:rPr>
                <w:rFonts w:cs="Arial"/>
              </w:rPr>
              <w:t>(2) Osebe, kot so družinski členi, ki jih je pokojni vzdrževal ali bi jih bil vzdrževal, če ne bi bil umrl, se obravnavajo, kot da so utrpele nadomestljivo škodo v obsegu izgubljene podpore.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10:203. Loss, destruction and damage of things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10:203. Izguba, uničenje in poškod</w:t>
            </w:r>
            <w:r w:rsidRPr="00855A56">
              <w:rPr>
                <w:rFonts w:cs="Arial"/>
              </w:rPr>
              <w:t>o</w:t>
            </w:r>
            <w:r w:rsidRPr="00855A56">
              <w:rPr>
                <w:rFonts w:cs="Arial"/>
              </w:rPr>
              <w:t>vanje stvari</w:t>
            </w:r>
          </w:p>
        </w:tc>
      </w:tr>
      <w:tr w:rsidR="00885074" w:rsidRPr="00855A56" w:rsidTr="000811C4">
        <w:trPr>
          <w:cantSplit/>
          <w:trHeight w:val="19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(1) Where a thing is lost, destroyed or da</w:t>
            </w:r>
            <w:r w:rsidRPr="00855A56">
              <w:rPr>
                <w:rFonts w:cs="Arial"/>
              </w:rPr>
              <w:t>m</w:t>
            </w:r>
            <w:r w:rsidRPr="00855A56">
              <w:rPr>
                <w:rFonts w:cs="Arial"/>
              </w:rPr>
              <w:t>aged, the basic measure of damages is the value of the thing or the diminution in its value and for this purpose it is irrelevant whether the victim intends to replace or repair the thing. However, if the victim has replaced or repaired it (or will do so), he may recover the higher expenditure thereby incurred if it is reasonable to do so.</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Če se stvar izgubi, uniči ali poškoduje, je temeljno merilo odškodnine vrednost stvari ali zmanjšanje njene vrednosti ne glede na to ali namerava oškodovanec nadomestiti ali popraviti stvar. Vendar če jo je oškodovanec nadomestil ali popravil (ali bo tako storil), lahko zahteva povrnitev zaradi tega višjih izda</w:t>
            </w:r>
            <w:r w:rsidRPr="00855A56">
              <w:rPr>
                <w:rFonts w:cs="Arial"/>
              </w:rPr>
              <w:t>t</w:t>
            </w:r>
            <w:r w:rsidRPr="00855A56">
              <w:rPr>
                <w:rFonts w:cs="Arial"/>
              </w:rPr>
              <w:t>kov, čeje takšno ravnanje razumno.</w:t>
            </w:r>
          </w:p>
        </w:tc>
      </w:tr>
      <w:tr w:rsidR="00885074" w:rsidRPr="00855A56" w:rsidTr="000811C4">
        <w:trPr>
          <w:cantSplit/>
          <w:trHeight w:val="6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Damages may also be awarded for loss of use of the thing, inclu</w:t>
            </w:r>
            <w:r w:rsidRPr="00855A56">
              <w:rPr>
                <w:rFonts w:cs="Arial"/>
              </w:rPr>
              <w:t>d</w:t>
            </w:r>
            <w:r w:rsidRPr="00855A56">
              <w:rPr>
                <w:rFonts w:cs="Arial"/>
              </w:rPr>
              <w:t>ing consequential losses such as loss of business.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Odškodnine se lahko priznajo tudi za izpad uporabe stvari, vključno s posrednimi izgubami, kot je izguba posla.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3. Non-pecuniary damage</w:t>
            </w:r>
          </w:p>
        </w:tc>
        <w:tc>
          <w:tcPr>
            <w:tcW w:w="329" w:type="dxa"/>
          </w:tcPr>
          <w:p w:rsidR="00885074" w:rsidRPr="00855A56" w:rsidRDefault="00885074" w:rsidP="009D0AF3">
            <w:pPr>
              <w:pStyle w:val="translation0"/>
              <w:suppressAutoHyphens/>
              <w:spacing w:line="150" w:lineRule="atLeast"/>
              <w:rPr>
                <w:rFonts w:ascii="Arial" w:hAnsi="Arial" w:cs="Arial"/>
                <w:sz w:val="20"/>
                <w:szCs w:val="20"/>
              </w:rPr>
            </w:pPr>
            <w:r w:rsidRPr="00855A56">
              <w:rPr>
                <w:rFonts w:ascii="Arial" w:hAnsi="Arial" w:cs="Arial"/>
                <w:i/>
                <w:iCs/>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i/>
              </w:rPr>
              <w:t>Odsek 3. Nepremoženjska škoda</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10:301. Non-pecuniary damage</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10:301. Nepremoženjska škoda</w:t>
            </w:r>
          </w:p>
        </w:tc>
      </w:tr>
      <w:tr w:rsidR="00885074" w:rsidRPr="00855A56" w:rsidTr="000811C4">
        <w:trPr>
          <w:cantSplit/>
          <w:trHeight w:val="21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lastRenderedPageBreak/>
              <w:t>(1) Considering the scope of its protection (Art</w:t>
            </w:r>
            <w:r w:rsidRPr="00855A56">
              <w:rPr>
                <w:rFonts w:cs="Arial"/>
              </w:rPr>
              <w:t>i</w:t>
            </w:r>
            <w:r w:rsidRPr="00855A56">
              <w:rPr>
                <w:rFonts w:cs="Arial"/>
              </w:rPr>
              <w:t>cle 2:102), the viol</w:t>
            </w:r>
            <w:r w:rsidRPr="00855A56">
              <w:rPr>
                <w:rFonts w:cs="Arial"/>
              </w:rPr>
              <w:t>a</w:t>
            </w:r>
            <w:r w:rsidRPr="00855A56">
              <w:rPr>
                <w:rFonts w:cs="Arial"/>
              </w:rPr>
              <w:t>tion of an interest may justify compensation of non-pecuniary damage. This is the case in particular where the victim has su</w:t>
            </w:r>
            <w:r w:rsidRPr="00855A56">
              <w:rPr>
                <w:rFonts w:cs="Arial"/>
              </w:rPr>
              <w:t>f</w:t>
            </w:r>
            <w:r w:rsidRPr="00855A56">
              <w:rPr>
                <w:rFonts w:cs="Arial"/>
              </w:rPr>
              <w:t>fered personal injury; or injury to human dignity, liberty, or other personality rights. Non-pecuniary damage can also be the subject of compens</w:t>
            </w:r>
            <w:r w:rsidRPr="00855A56">
              <w:rPr>
                <w:rFonts w:cs="Arial"/>
              </w:rPr>
              <w:t>a</w:t>
            </w:r>
            <w:r w:rsidRPr="00855A56">
              <w:rPr>
                <w:rFonts w:cs="Arial"/>
              </w:rPr>
              <w:t>tion for persons having a close relationship with a victim suffering a fatal or very serious non-fatal injury.</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(1) Upoštevajoč obseg varstva (člen 2:102) la</w:t>
            </w:r>
            <w:r w:rsidRPr="00855A56">
              <w:rPr>
                <w:rFonts w:cs="Arial"/>
              </w:rPr>
              <w:t>h</w:t>
            </w:r>
            <w:r w:rsidRPr="00855A56">
              <w:rPr>
                <w:rFonts w:cs="Arial"/>
              </w:rPr>
              <w:t>ko kršitev interesa upravičuje nadomestitev n</w:t>
            </w:r>
            <w:r w:rsidRPr="00855A56">
              <w:rPr>
                <w:rFonts w:cs="Arial"/>
              </w:rPr>
              <w:t>e</w:t>
            </w:r>
            <w:r w:rsidRPr="00855A56">
              <w:rPr>
                <w:rFonts w:cs="Arial"/>
              </w:rPr>
              <w:t>premoženjske škode. To še zlasti velja, če je oškodovanec utrpel osebno poškodbo ali kršitev človekovega dostojanstva, prostosti ali drugih osebnos</w:t>
            </w:r>
            <w:r w:rsidRPr="00855A56">
              <w:rPr>
                <w:rFonts w:cs="Arial"/>
              </w:rPr>
              <w:t>t</w:t>
            </w:r>
            <w:r w:rsidRPr="00855A56">
              <w:rPr>
                <w:rFonts w:cs="Arial"/>
              </w:rPr>
              <w:t>nih pravic. Nepremoženjska škoda se lahko nadomesti tudi osebam, ki imajo tesen odnos z oškodovancem, ki je utrpel smrt ali zelo resno telesno poškodbo ali kršitev.</w:t>
            </w:r>
          </w:p>
        </w:tc>
      </w:tr>
      <w:tr w:rsidR="00885074" w:rsidRPr="00855A56" w:rsidTr="000811C4">
        <w:trPr>
          <w:cantSplit/>
          <w:trHeight w:val="159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(2) In general, in the assessment of such da</w:t>
            </w:r>
            <w:r w:rsidRPr="00855A56">
              <w:rPr>
                <w:rFonts w:cs="Arial"/>
              </w:rPr>
              <w:t>m</w:t>
            </w:r>
            <w:r w:rsidRPr="00855A56">
              <w:rPr>
                <w:rFonts w:cs="Arial"/>
              </w:rPr>
              <w:t>ages, all circumstances of the case, including the gravity, duration and consequences of the grievance, have to be taken into account. The degree of the tortfeasor’s fault is to be taken into account only where it significantly contri</w:t>
            </w:r>
            <w:r w:rsidRPr="00855A56">
              <w:rPr>
                <w:rFonts w:cs="Arial"/>
              </w:rPr>
              <w:t>b</w:t>
            </w:r>
            <w:r w:rsidRPr="00855A56">
              <w:rPr>
                <w:rFonts w:cs="Arial"/>
              </w:rPr>
              <w:t>utes to the grievance of the victim.</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rPr>
            </w:pPr>
            <w:r w:rsidRPr="00855A56">
              <w:rPr>
                <w:rFonts w:cs="Arial"/>
              </w:rPr>
              <w:t>(2) Na splošno je treba pri oceni takih škod upo</w:t>
            </w:r>
            <w:r w:rsidRPr="00855A56">
              <w:rPr>
                <w:rFonts w:cs="Arial"/>
              </w:rPr>
              <w:t>š</w:t>
            </w:r>
            <w:r w:rsidRPr="00855A56">
              <w:rPr>
                <w:rFonts w:cs="Arial"/>
              </w:rPr>
              <w:t>tevati vse okoliščine primera, vključno s težo, trajanjem in posledicami poškodbe. Stop</w:t>
            </w:r>
            <w:r w:rsidRPr="00855A56">
              <w:rPr>
                <w:rFonts w:cs="Arial"/>
              </w:rPr>
              <w:t>n</w:t>
            </w:r>
            <w:r w:rsidRPr="00855A56">
              <w:rPr>
                <w:rFonts w:cs="Arial"/>
              </w:rPr>
              <w:t>ja storilčeve krivde se upošteva le, če je p</w:t>
            </w:r>
            <w:r w:rsidRPr="00855A56">
              <w:rPr>
                <w:rFonts w:cs="Arial"/>
              </w:rPr>
              <w:t>o</w:t>
            </w:r>
            <w:r w:rsidRPr="00855A56">
              <w:rPr>
                <w:rFonts w:cs="Arial"/>
              </w:rPr>
              <w:t>membno prispevala k oškodovančevi poškodbi.</w:t>
            </w:r>
          </w:p>
        </w:tc>
      </w:tr>
      <w:tr w:rsidR="00885074" w:rsidRPr="00855A56" w:rsidTr="000811C4">
        <w:trPr>
          <w:cantSplit/>
          <w:trHeight w:val="213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(3) In cases of personal injury, non-pecuniary damage corresponds to the suffering of the vi</w:t>
            </w:r>
            <w:r w:rsidRPr="00855A56">
              <w:rPr>
                <w:rFonts w:cs="Arial"/>
              </w:rPr>
              <w:t>c</w:t>
            </w:r>
            <w:r w:rsidRPr="00855A56">
              <w:rPr>
                <w:rFonts w:cs="Arial"/>
              </w:rPr>
              <w:t>tim and the impairment of his bodily or me</w:t>
            </w:r>
            <w:r w:rsidRPr="00855A56">
              <w:rPr>
                <w:rFonts w:cs="Arial"/>
              </w:rPr>
              <w:t>n</w:t>
            </w:r>
            <w:r w:rsidRPr="00855A56">
              <w:rPr>
                <w:rFonts w:cs="Arial"/>
              </w:rPr>
              <w:t>tal health. In assessing damages (including da</w:t>
            </w:r>
            <w:r w:rsidRPr="00855A56">
              <w:rPr>
                <w:rFonts w:cs="Arial"/>
              </w:rPr>
              <w:t>m</w:t>
            </w:r>
            <w:r w:rsidRPr="00855A56">
              <w:rPr>
                <w:rFonts w:cs="Arial"/>
              </w:rPr>
              <w:t>ages for persons having a close relatio</w:t>
            </w:r>
            <w:r w:rsidRPr="00855A56">
              <w:rPr>
                <w:rFonts w:cs="Arial"/>
              </w:rPr>
              <w:t>n</w:t>
            </w:r>
            <w:r w:rsidRPr="00855A56">
              <w:rPr>
                <w:rFonts w:cs="Arial"/>
              </w:rPr>
              <w:t>ship to deceased or seriously injured victims) similar sums should be awarded for objectively similar losses.</w:t>
            </w:r>
          </w:p>
        </w:tc>
        <w:tc>
          <w:tcPr>
            <w:tcW w:w="329" w:type="dxa"/>
          </w:tcPr>
          <w:p w:rsidR="00885074" w:rsidRPr="00855A56" w:rsidRDefault="00885074" w:rsidP="009D0AF3">
            <w:pPr>
              <w:pStyle w:val="translation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(3) V primerih osebne poškodbe ustreza nepr</w:t>
            </w:r>
            <w:r w:rsidRPr="00855A56">
              <w:rPr>
                <w:rFonts w:cs="Arial"/>
              </w:rPr>
              <w:t>e</w:t>
            </w:r>
            <w:r w:rsidRPr="00855A56">
              <w:rPr>
                <w:rFonts w:cs="Arial"/>
              </w:rPr>
              <w:t>moženjska škoda trpljenju oškodovanca in pr</w:t>
            </w:r>
            <w:r w:rsidRPr="00855A56">
              <w:rPr>
                <w:rFonts w:cs="Arial"/>
              </w:rPr>
              <w:t>i</w:t>
            </w:r>
            <w:r w:rsidRPr="00855A56">
              <w:rPr>
                <w:rFonts w:cs="Arial"/>
              </w:rPr>
              <w:t>krajšanju za njegovo telesno ali duševno zdravje. Pri odmeri odškodnin (vključno z od</w:t>
            </w:r>
            <w:r w:rsidRPr="00855A56">
              <w:rPr>
                <w:rFonts w:cs="Arial"/>
              </w:rPr>
              <w:t>š</w:t>
            </w:r>
            <w:r w:rsidRPr="00855A56">
              <w:rPr>
                <w:rFonts w:cs="Arial"/>
              </w:rPr>
              <w:t>kodninamiza osebe, ki imajo tesen odnos s p</w:t>
            </w:r>
            <w:r w:rsidRPr="00855A56">
              <w:rPr>
                <w:rFonts w:cs="Arial"/>
              </w:rPr>
              <w:t>o</w:t>
            </w:r>
            <w:r w:rsidRPr="00855A56">
              <w:rPr>
                <w:rFonts w:cs="Arial"/>
              </w:rPr>
              <w:t>kojnimi ali resno poškodovanimi oškodovanci) je treba priznati podobne vsote za objektivno p</w:t>
            </w:r>
            <w:r w:rsidRPr="00855A56">
              <w:rPr>
                <w:rFonts w:cs="Arial"/>
              </w:rPr>
              <w:t>o</w:t>
            </w:r>
            <w:r w:rsidRPr="00855A56">
              <w:rPr>
                <w:rFonts w:cs="Arial"/>
              </w:rPr>
              <w:t>dobne poškodbe.</w:t>
            </w:r>
          </w:p>
        </w:tc>
      </w:tr>
      <w:tr w:rsidR="00885074" w:rsidRPr="00855A56" w:rsidTr="000811C4">
        <w:trPr>
          <w:cantSplit/>
          <w:trHeight w:val="15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i/>
                <w:lang w:val="fr-CH"/>
              </w:rPr>
              <w:t>Section 4. Reduction of damages</w:t>
            </w:r>
          </w:p>
        </w:tc>
        <w:tc>
          <w:tcPr>
            <w:tcW w:w="329" w:type="dxa"/>
          </w:tcPr>
          <w:p w:rsidR="00885074" w:rsidRPr="00855A56" w:rsidRDefault="00885074" w:rsidP="009D0AF3">
            <w:pPr>
              <w:pStyle w:val="translation0"/>
              <w:suppressAutoHyphens/>
              <w:spacing w:line="150" w:lineRule="atLeast"/>
              <w:rPr>
                <w:rFonts w:ascii="Arial" w:hAnsi="Arial" w:cs="Arial"/>
                <w:sz w:val="20"/>
                <w:szCs w:val="20"/>
              </w:rPr>
            </w:pPr>
            <w:r w:rsidRPr="00855A56">
              <w:rPr>
                <w:rFonts w:ascii="Arial" w:hAnsi="Arial" w:cs="Arial"/>
                <w:i/>
                <w:iCs/>
                <w:sz w:val="20"/>
                <w:szCs w:val="20"/>
                <w:lang w:val="ca-ES"/>
              </w:rPr>
              <w:t> </w:t>
            </w:r>
          </w:p>
        </w:tc>
        <w:tc>
          <w:tcPr>
            <w:tcW w:w="4340" w:type="dxa"/>
          </w:tcPr>
          <w:p w:rsidR="00885074" w:rsidRPr="00855A56" w:rsidRDefault="00885074" w:rsidP="009D0AF3">
            <w:pPr>
              <w:pStyle w:val="TranslationHeader"/>
              <w:suppressAutoHyphens/>
              <w:wordWrap/>
              <w:rPr>
                <w:rFonts w:cs="Arial"/>
              </w:rPr>
            </w:pPr>
            <w:r w:rsidRPr="00855A56">
              <w:rPr>
                <w:rFonts w:cs="Arial"/>
                <w:i/>
              </w:rPr>
              <w:t>Odsek 4. Znižanje odškodnine</w:t>
            </w:r>
          </w:p>
        </w:tc>
      </w:tr>
      <w:tr w:rsidR="00885074" w:rsidRPr="00855A56" w:rsidTr="000811C4">
        <w:trPr>
          <w:cantSplit/>
          <w:trHeight w:val="330"/>
          <w:tblCellSpacing w:w="0" w:type="dxa"/>
        </w:trPr>
        <w:tc>
          <w:tcPr>
            <w:tcW w:w="4325" w:type="dxa"/>
          </w:tcPr>
          <w:p w:rsidR="00885074" w:rsidRPr="00855A56" w:rsidRDefault="00885074" w:rsidP="009D0AF3">
            <w:pPr>
              <w:pStyle w:val="OriginalHeader"/>
              <w:suppressAutoHyphens/>
              <w:wordWrap/>
              <w:rPr>
                <w:rFonts w:cs="Arial"/>
              </w:rPr>
            </w:pPr>
            <w:r w:rsidRPr="00855A56">
              <w:rPr>
                <w:rFonts w:cs="Arial"/>
              </w:rPr>
              <w:t>Art. 10:401. Reduction of damages</w:t>
            </w:r>
          </w:p>
        </w:tc>
        <w:tc>
          <w:tcPr>
            <w:tcW w:w="329" w:type="dxa"/>
          </w:tcPr>
          <w:p w:rsidR="00885074" w:rsidRPr="00855A56" w:rsidRDefault="00885074" w:rsidP="009D0AF3">
            <w:pPr>
              <w:pStyle w:val="TranslationHeader"/>
              <w:suppressAutoHyphens/>
              <w:wordWrap/>
              <w:rPr>
                <w:rFonts w:cs="Arial"/>
              </w:rPr>
            </w:pPr>
            <w:r w:rsidRPr="00855A56">
              <w:rPr>
                <w:rFonts w:cs="Arial"/>
              </w:rPr>
              <w:t> </w:t>
            </w:r>
          </w:p>
        </w:tc>
        <w:tc>
          <w:tcPr>
            <w:tcW w:w="4340" w:type="dxa"/>
          </w:tcPr>
          <w:p w:rsidR="00885074" w:rsidRPr="00855A56" w:rsidRDefault="00885074" w:rsidP="009D0AF3">
            <w:pPr>
              <w:pStyle w:val="TranslationHeader"/>
              <w:suppressAutoHyphens/>
              <w:wordWrap/>
              <w:rPr>
                <w:rFonts w:cs="Arial"/>
              </w:rPr>
            </w:pPr>
            <w:r w:rsidRPr="00855A56">
              <w:rPr>
                <w:rFonts w:cs="Arial"/>
              </w:rPr>
              <w:t>Člen 10:401. Znižanje odškodnine</w:t>
            </w:r>
          </w:p>
        </w:tc>
      </w:tr>
      <w:tr w:rsidR="00885074" w:rsidRPr="00855A56" w:rsidTr="000811C4">
        <w:trPr>
          <w:cantSplit/>
          <w:trHeight w:val="1950"/>
          <w:tblCellSpacing w:w="0" w:type="dxa"/>
        </w:trPr>
        <w:tc>
          <w:tcPr>
            <w:tcW w:w="4325" w:type="dxa"/>
          </w:tcPr>
          <w:p w:rsidR="00885074" w:rsidRPr="00855A56" w:rsidRDefault="00885074" w:rsidP="009D0AF3">
            <w:pPr>
              <w:pStyle w:val="Original"/>
              <w:suppressAutoHyphens/>
              <w:wordWrap/>
              <w:rPr>
                <w:rFonts w:cs="Arial"/>
              </w:rPr>
            </w:pPr>
            <w:r w:rsidRPr="00855A56">
              <w:rPr>
                <w:rFonts w:cs="Arial"/>
              </w:rPr>
              <w:t>In an exceptional case, if in light of the financial situation of the parties full compensation would be an oppressive burden to the defendant, da</w:t>
            </w:r>
            <w:r w:rsidRPr="00855A56">
              <w:rPr>
                <w:rFonts w:cs="Arial"/>
              </w:rPr>
              <w:t>m</w:t>
            </w:r>
            <w:r w:rsidRPr="00855A56">
              <w:rPr>
                <w:rFonts w:cs="Arial"/>
              </w:rPr>
              <w:t>ages may be reduced. In deciding whether to do so, the basis of liability (Article 1:101), the scope of protection of the interest (Article 2:102) and the magnitude of the damage have to be taken into account in particular.</w:t>
            </w:r>
          </w:p>
        </w:tc>
        <w:tc>
          <w:tcPr>
            <w:tcW w:w="329" w:type="dxa"/>
          </w:tcPr>
          <w:p w:rsidR="00885074" w:rsidRPr="00855A56" w:rsidRDefault="00885074" w:rsidP="009D0AF3">
            <w:pPr>
              <w:pStyle w:val="translationheader0"/>
              <w:suppressAutoHyphens/>
              <w:rPr>
                <w:rFonts w:ascii="Arial" w:hAnsi="Arial" w:cs="Arial"/>
                <w:sz w:val="20"/>
                <w:szCs w:val="20"/>
                <w:lang w:val="en-GB"/>
              </w:rPr>
            </w:pPr>
            <w:r w:rsidRPr="00855A56">
              <w:rPr>
                <w:rFonts w:ascii="Arial" w:hAnsi="Arial" w:cs="Arial"/>
                <w:sz w:val="20"/>
                <w:szCs w:val="20"/>
                <w:lang w:val="ca-ES"/>
              </w:rPr>
              <w:t> </w:t>
            </w:r>
          </w:p>
        </w:tc>
        <w:tc>
          <w:tcPr>
            <w:tcW w:w="4340" w:type="dxa"/>
          </w:tcPr>
          <w:p w:rsidR="00885074" w:rsidRPr="00855A56" w:rsidRDefault="00885074" w:rsidP="009D0AF3">
            <w:pPr>
              <w:pStyle w:val="Translation"/>
              <w:suppressAutoHyphens/>
              <w:wordWrap/>
              <w:rPr>
                <w:rFonts w:cs="Arial"/>
                <w:lang w:val="en-GB"/>
              </w:rPr>
            </w:pPr>
            <w:r w:rsidRPr="00855A56">
              <w:rPr>
                <w:rFonts w:cs="Arial"/>
              </w:rPr>
              <w:t>V izjemnem primeru, če bi bilo glede finančnega položaja strank polno nadomestilo prekomerno breme za toženca, se lahko odškodnina zniža. Pri odločanju o tem je treba zlasti upoštevati temelj odgovornosti (člen 1:101), obseg varova</w:t>
            </w:r>
            <w:r w:rsidRPr="00855A56">
              <w:rPr>
                <w:rFonts w:cs="Arial"/>
              </w:rPr>
              <w:t>n</w:t>
            </w:r>
            <w:r w:rsidRPr="00855A56">
              <w:rPr>
                <w:rFonts w:cs="Arial"/>
              </w:rPr>
              <w:t>ja interesa (člen 2:102) in obseg škode.</w:t>
            </w:r>
          </w:p>
        </w:tc>
      </w:tr>
      <w:bookmarkEnd w:id="0"/>
    </w:tbl>
    <w:p w:rsidR="00885074" w:rsidRPr="00855A56" w:rsidRDefault="00885074" w:rsidP="009D0AF3">
      <w:pPr>
        <w:pStyle w:val="Original"/>
        <w:suppressAutoHyphens/>
        <w:wordWrap/>
        <w:rPr>
          <w:rFonts w:cs="Arial"/>
        </w:rPr>
      </w:pPr>
    </w:p>
    <w:sectPr w:rsidR="00885074" w:rsidRPr="00855A56"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1E" w:rsidRDefault="00A8411E">
      <w:r>
        <w:separator/>
      </w:r>
    </w:p>
  </w:endnote>
  <w:endnote w:type="continuationSeparator" w:id="0">
    <w:p w:rsidR="00A8411E" w:rsidRDefault="00A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UIGothic">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CF" w:rsidRDefault="00C372CF"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0811C4">
      <w:rPr>
        <w:rStyle w:val="Seitenzahl"/>
        <w:noProof/>
      </w:rPr>
      <w:t>10</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CF" w:rsidRPr="002238B7" w:rsidRDefault="00C372CF">
    <w:pPr>
      <w:pStyle w:val="Fuzeile"/>
      <w:rPr>
        <w:lang w:val="de-AT"/>
      </w:rPr>
    </w:pPr>
    <w:r>
      <w:rPr>
        <w:lang w:val="de-AT"/>
      </w:rPr>
      <w:t xml:space="preserve">Slovenian Translation by </w:t>
    </w:r>
    <w:r w:rsidRPr="00730900">
      <w:rPr>
        <w:lang w:val="de-AT"/>
      </w:rPr>
      <w:t>Milan Viršek and Marko Brus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1E" w:rsidRDefault="00A8411E">
      <w:pPr>
        <w:pStyle w:val="Fuzeile"/>
        <w:spacing w:before="120" w:after="120"/>
      </w:pPr>
    </w:p>
  </w:footnote>
  <w:footnote w:type="continuationSeparator" w:id="0">
    <w:p w:rsidR="00A8411E" w:rsidRDefault="00A8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CF" w:rsidRDefault="00C372CF"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Pr>
        <w:b/>
      </w:rPr>
      <w:fldChar w:fldCharType="separate"/>
    </w:r>
    <w:r w:rsidR="000811C4" w:rsidRPr="000811C4">
      <w:rPr>
        <w:rFonts w:ascii="MS Gothic" w:eastAsia="MS Gothic" w:hAnsi="MS Gothic" w:cs="MS Gothic"/>
        <w:b/>
        <w:noProof/>
      </w:rPr>
      <w:t>Načela</w:t>
    </w:r>
    <w:r w:rsidR="000811C4">
      <w:rPr>
        <w:b/>
        <w:noProof/>
      </w:rPr>
      <w:t xml:space="preserve"> evropskega odškodninskega prava</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activeWritingStyle w:appName="MSWord" w:lang="de-AT"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811C4"/>
    <w:rsid w:val="000857E0"/>
    <w:rsid w:val="000C3C71"/>
    <w:rsid w:val="000D5E5B"/>
    <w:rsid w:val="000E6345"/>
    <w:rsid w:val="000F46A7"/>
    <w:rsid w:val="00100335"/>
    <w:rsid w:val="00111185"/>
    <w:rsid w:val="00112FF2"/>
    <w:rsid w:val="00116F81"/>
    <w:rsid w:val="0019067C"/>
    <w:rsid w:val="0019302D"/>
    <w:rsid w:val="001E09E5"/>
    <w:rsid w:val="001E2EDD"/>
    <w:rsid w:val="001F1776"/>
    <w:rsid w:val="00202250"/>
    <w:rsid w:val="00220420"/>
    <w:rsid w:val="002238B7"/>
    <w:rsid w:val="002344FE"/>
    <w:rsid w:val="0025222B"/>
    <w:rsid w:val="0028097B"/>
    <w:rsid w:val="00291466"/>
    <w:rsid w:val="002A5B8F"/>
    <w:rsid w:val="002B21A3"/>
    <w:rsid w:val="002C1E38"/>
    <w:rsid w:val="002D5346"/>
    <w:rsid w:val="002E23A2"/>
    <w:rsid w:val="002F729D"/>
    <w:rsid w:val="00332042"/>
    <w:rsid w:val="00332EEC"/>
    <w:rsid w:val="00357847"/>
    <w:rsid w:val="003A0164"/>
    <w:rsid w:val="003B30F4"/>
    <w:rsid w:val="003F3E2B"/>
    <w:rsid w:val="00406B20"/>
    <w:rsid w:val="00462C16"/>
    <w:rsid w:val="004876D5"/>
    <w:rsid w:val="00490F15"/>
    <w:rsid w:val="004B3749"/>
    <w:rsid w:val="004E2E63"/>
    <w:rsid w:val="00507257"/>
    <w:rsid w:val="00534C43"/>
    <w:rsid w:val="005B3AA4"/>
    <w:rsid w:val="005B63AE"/>
    <w:rsid w:val="005C3597"/>
    <w:rsid w:val="00601325"/>
    <w:rsid w:val="00612EA8"/>
    <w:rsid w:val="00635C16"/>
    <w:rsid w:val="00660A74"/>
    <w:rsid w:val="00681DA8"/>
    <w:rsid w:val="006B2F67"/>
    <w:rsid w:val="006C0299"/>
    <w:rsid w:val="006D1C72"/>
    <w:rsid w:val="006D6070"/>
    <w:rsid w:val="00700034"/>
    <w:rsid w:val="00730900"/>
    <w:rsid w:val="0076492A"/>
    <w:rsid w:val="007C64E0"/>
    <w:rsid w:val="00817732"/>
    <w:rsid w:val="00855A56"/>
    <w:rsid w:val="00872A71"/>
    <w:rsid w:val="00885074"/>
    <w:rsid w:val="008853DF"/>
    <w:rsid w:val="00962CB0"/>
    <w:rsid w:val="009A52B2"/>
    <w:rsid w:val="009B2C71"/>
    <w:rsid w:val="009C225E"/>
    <w:rsid w:val="009D0AF3"/>
    <w:rsid w:val="009D6868"/>
    <w:rsid w:val="009F23B3"/>
    <w:rsid w:val="00A128BA"/>
    <w:rsid w:val="00A16868"/>
    <w:rsid w:val="00A234D3"/>
    <w:rsid w:val="00A245C2"/>
    <w:rsid w:val="00A34B6F"/>
    <w:rsid w:val="00A40B79"/>
    <w:rsid w:val="00A65737"/>
    <w:rsid w:val="00A8411E"/>
    <w:rsid w:val="00AB794D"/>
    <w:rsid w:val="00AC5CE7"/>
    <w:rsid w:val="00B403C3"/>
    <w:rsid w:val="00B515A9"/>
    <w:rsid w:val="00B62D31"/>
    <w:rsid w:val="00B77AB5"/>
    <w:rsid w:val="00BB5FD9"/>
    <w:rsid w:val="00BB6C74"/>
    <w:rsid w:val="00BE21CC"/>
    <w:rsid w:val="00C01CD9"/>
    <w:rsid w:val="00C14169"/>
    <w:rsid w:val="00C241A2"/>
    <w:rsid w:val="00C37219"/>
    <w:rsid w:val="00C372CF"/>
    <w:rsid w:val="00C61389"/>
    <w:rsid w:val="00C83AA7"/>
    <w:rsid w:val="00CA32C3"/>
    <w:rsid w:val="00D11810"/>
    <w:rsid w:val="00D332A2"/>
    <w:rsid w:val="00D353A7"/>
    <w:rsid w:val="00D53E38"/>
    <w:rsid w:val="00DD60E5"/>
    <w:rsid w:val="00DE2A70"/>
    <w:rsid w:val="00DF0EAD"/>
    <w:rsid w:val="00DF41A4"/>
    <w:rsid w:val="00DF5EB5"/>
    <w:rsid w:val="00E060DB"/>
    <w:rsid w:val="00E1204F"/>
    <w:rsid w:val="00E560F2"/>
    <w:rsid w:val="00E81F56"/>
    <w:rsid w:val="00E822AC"/>
    <w:rsid w:val="00EB0562"/>
    <w:rsid w:val="00ED027C"/>
    <w:rsid w:val="00F06C81"/>
    <w:rsid w:val="00F44971"/>
    <w:rsid w:val="00F508BC"/>
    <w:rsid w:val="00F850D0"/>
    <w:rsid w:val="00F90080"/>
    <w:rsid w:val="00F918F5"/>
    <w:rsid w:val="00FA0457"/>
    <w:rsid w:val="00FB73D2"/>
    <w:rsid w:val="00FC565D"/>
    <w:rsid w:val="00FD5E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27F8BC0-04F8-42ED-9420-E703AC2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semiHidden/>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semiHidden/>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semiHidden/>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semiHidden/>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semiHidden/>
    <w:pPr>
      <w:widowControl w:val="0"/>
      <w:spacing w:before="0"/>
    </w:pPr>
    <w:rPr>
      <w:rFonts w:ascii="Times New Roman" w:hAnsi="Times New Roman"/>
      <w:sz w:val="16"/>
    </w:rPr>
  </w:style>
  <w:style w:type="paragraph" w:customStyle="1" w:styleId="Clause">
    <w:name w:val="Clause"/>
    <w:basedOn w:val="Standard"/>
    <w:semiHidden/>
    <w:pPr>
      <w:spacing w:before="0"/>
      <w:ind w:left="142"/>
    </w:pPr>
    <w:rPr>
      <w:sz w:val="20"/>
      <w:lang w:eastAsia="de-DE"/>
    </w:rPr>
  </w:style>
  <w:style w:type="paragraph" w:customStyle="1" w:styleId="Funotentext2">
    <w:name w:val="Fußnotentext2"/>
    <w:basedOn w:val="Funotentext"/>
    <w:semiHidden/>
    <w:pPr>
      <w:spacing w:before="0"/>
      <w:ind w:firstLine="0"/>
    </w:pPr>
    <w:rPr>
      <w:lang w:val="de-DE"/>
    </w:rPr>
  </w:style>
  <w:style w:type="paragraph" w:customStyle="1" w:styleId="StandardA">
    <w:name w:val="StandardA"/>
    <w:basedOn w:val="Standard"/>
    <w:semiHidden/>
    <w:pPr>
      <w:spacing w:before="0"/>
      <w:ind w:left="568" w:hanging="284"/>
    </w:pPr>
  </w:style>
  <w:style w:type="paragraph" w:customStyle="1" w:styleId="Proposal">
    <w:name w:val="Proposal"/>
    <w:basedOn w:val="Standard"/>
    <w:semiHidden/>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DE2A70"/>
    <w:rPr>
      <w:rFonts w:eastAsia="SimSun" w:cs="Courier New"/>
      <w:color w:val="000000"/>
      <w:lang w:val="fr-FR" w:eastAsia="zh-CN"/>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rsid w:val="009A52B2"/>
    <w:rPr>
      <w:color w:val="000000"/>
    </w:rPr>
  </w:style>
  <w:style w:type="paragraph" w:customStyle="1" w:styleId="original0">
    <w:name w:val="original"/>
    <w:basedOn w:val="Standard"/>
    <w:rsid w:val="00885074"/>
    <w:pPr>
      <w:spacing w:before="100" w:beforeAutospacing="1" w:after="100" w:afterAutospacing="1"/>
    </w:pPr>
    <w:rPr>
      <w:rFonts w:ascii="Times New Roman" w:hAnsi="Times New Roman"/>
      <w:szCs w:val="24"/>
      <w:lang w:val="es-ES" w:eastAsia="es-ES"/>
    </w:rPr>
  </w:style>
  <w:style w:type="paragraph" w:customStyle="1" w:styleId="translationtitle0">
    <w:name w:val="translationtitle"/>
    <w:basedOn w:val="Standard"/>
    <w:rsid w:val="00885074"/>
    <w:pPr>
      <w:spacing w:before="100" w:beforeAutospacing="1" w:after="100" w:afterAutospacing="1"/>
    </w:pPr>
    <w:rPr>
      <w:rFonts w:ascii="Times New Roman" w:hAnsi="Times New Roman"/>
      <w:szCs w:val="24"/>
      <w:lang w:val="es-ES" w:eastAsia="es-ES"/>
    </w:rPr>
  </w:style>
  <w:style w:type="paragraph" w:customStyle="1" w:styleId="originalheader0">
    <w:name w:val="originalheader"/>
    <w:basedOn w:val="Standard"/>
    <w:rsid w:val="00885074"/>
    <w:pPr>
      <w:spacing w:before="100" w:beforeAutospacing="1" w:after="100" w:afterAutospacing="1"/>
    </w:pPr>
    <w:rPr>
      <w:rFonts w:ascii="Times New Roman" w:hAnsi="Times New Roman"/>
      <w:szCs w:val="24"/>
      <w:lang w:val="es-ES" w:eastAsia="es-ES"/>
    </w:rPr>
  </w:style>
  <w:style w:type="paragraph" w:customStyle="1" w:styleId="translationheader0">
    <w:name w:val="translationheader"/>
    <w:basedOn w:val="Standard"/>
    <w:rsid w:val="00885074"/>
    <w:pPr>
      <w:spacing w:before="100" w:beforeAutospacing="1" w:after="100" w:afterAutospacing="1"/>
    </w:pPr>
    <w:rPr>
      <w:rFonts w:ascii="Times New Roman" w:hAnsi="Times New Roman"/>
      <w:szCs w:val="24"/>
      <w:lang w:val="es-ES" w:eastAsia="es-ES"/>
    </w:rPr>
  </w:style>
  <w:style w:type="paragraph" w:customStyle="1" w:styleId="translation0">
    <w:name w:val="translation"/>
    <w:basedOn w:val="Standard"/>
    <w:rsid w:val="00885074"/>
    <w:pPr>
      <w:spacing w:before="100" w:beforeAutospacing="1" w:after="100" w:afterAutospacing="1"/>
    </w:pPr>
    <w:rPr>
      <w:rFonts w:ascii="Times New Roman" w:hAnsi="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4792</Words>
  <Characters>30192</Characters>
  <Application>Microsoft Office Word</Application>
  <DocSecurity>0</DocSecurity>
  <Lines>251</Lines>
  <Paragraphs>69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Principles of European Tort Law</vt:lpstr>
      <vt:lpstr>Principles of European Tort Law</vt:lpstr>
    </vt:vector>
  </TitlesOfParts>
  <Company>http://www.egtl.org</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4</cp:revision>
  <cp:lastPrinted>2006-05-02T16:34:00Z</cp:lastPrinted>
  <dcterms:created xsi:type="dcterms:W3CDTF">2019-04-30T10:08:00Z</dcterms:created>
  <dcterms:modified xsi:type="dcterms:W3CDTF">2019-04-30T10:09:00Z</dcterms:modified>
</cp:coreProperties>
</file>